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67710" w14:textId="77777777" w:rsidR="008130E2" w:rsidRPr="00D4639B" w:rsidRDefault="008130E2" w:rsidP="00501911">
      <w:pPr>
        <w:rPr>
          <w:rFonts w:ascii="Noto Sans" w:hAnsi="Noto Sans" w:cs="Arial"/>
          <w:sz w:val="20"/>
          <w:szCs w:val="20"/>
        </w:rPr>
      </w:pPr>
      <w:bookmarkStart w:id="0" w:name="_GoBack"/>
      <w:bookmarkEnd w:id="0"/>
    </w:p>
    <w:p w14:paraId="2019F267" w14:textId="77777777" w:rsidR="00AA01D9" w:rsidRDefault="00683A6F" w:rsidP="00501911">
      <w:pPr>
        <w:rPr>
          <w:rFonts w:ascii="Noto Sans" w:hAnsi="Noto Sans" w:cs="Arial"/>
          <w:b/>
          <w:sz w:val="20"/>
          <w:szCs w:val="20"/>
        </w:rPr>
      </w:pPr>
      <w:r w:rsidRPr="00D4639B">
        <w:rPr>
          <w:rFonts w:ascii="Noto Sans" w:hAnsi="Noto Sans" w:cs="Arial"/>
          <w:b/>
          <w:sz w:val="20"/>
          <w:szCs w:val="20"/>
        </w:rPr>
        <w:t>STATEMENT OF INVESTMENT PRINCIPLES</w:t>
      </w:r>
      <w:r w:rsidR="00F623AA" w:rsidRPr="00D4639B">
        <w:rPr>
          <w:rFonts w:ascii="Noto Sans" w:hAnsi="Noto Sans" w:cs="Arial"/>
          <w:b/>
          <w:sz w:val="20"/>
          <w:szCs w:val="20"/>
        </w:rPr>
        <w:t xml:space="preserve"> (SIP)</w:t>
      </w:r>
    </w:p>
    <w:p w14:paraId="2FAD4D26" w14:textId="77777777" w:rsidR="004B323A" w:rsidRDefault="004B323A" w:rsidP="00501911">
      <w:pPr>
        <w:rPr>
          <w:rFonts w:ascii="Noto Sans" w:hAnsi="Noto Sans" w:cs="Arial"/>
          <w:b/>
          <w:sz w:val="20"/>
          <w:szCs w:val="20"/>
        </w:rPr>
      </w:pPr>
      <w:r w:rsidRPr="004B323A">
        <w:rPr>
          <w:rFonts w:ascii="Noto Sans" w:hAnsi="Noto Sans" w:cs="Arial"/>
          <w:b/>
          <w:sz w:val="20"/>
          <w:szCs w:val="20"/>
        </w:rPr>
        <w:t>The Singleton Birch Limited Retirement Benefits Scheme</w:t>
      </w:r>
      <w:r>
        <w:rPr>
          <w:rFonts w:ascii="Noto Sans" w:hAnsi="Noto Sans" w:cs="Arial"/>
          <w:b/>
          <w:sz w:val="20"/>
          <w:szCs w:val="20"/>
        </w:rPr>
        <w:t xml:space="preserve"> </w:t>
      </w:r>
    </w:p>
    <w:p w14:paraId="147A523C" w14:textId="07E366C2" w:rsidR="00D67CB2" w:rsidRPr="00D4639B" w:rsidRDefault="006645C7" w:rsidP="00501911">
      <w:pPr>
        <w:rPr>
          <w:rFonts w:ascii="Noto Sans" w:hAnsi="Noto Sans" w:cs="Arial"/>
          <w:b/>
          <w:sz w:val="20"/>
          <w:szCs w:val="20"/>
        </w:rPr>
      </w:pPr>
      <w:r>
        <w:rPr>
          <w:rFonts w:ascii="Noto Sans" w:hAnsi="Noto Sans" w:cs="Arial"/>
          <w:b/>
          <w:sz w:val="20"/>
          <w:szCs w:val="20"/>
        </w:rPr>
        <w:t>September</w:t>
      </w:r>
      <w:r w:rsidR="00FC6ECC" w:rsidRPr="00CB4812">
        <w:rPr>
          <w:rFonts w:ascii="Noto Sans" w:hAnsi="Noto Sans" w:cs="Arial"/>
          <w:b/>
          <w:sz w:val="20"/>
          <w:szCs w:val="20"/>
        </w:rPr>
        <w:t xml:space="preserve"> </w:t>
      </w:r>
      <w:r w:rsidR="00F006AA">
        <w:rPr>
          <w:rFonts w:ascii="Noto Sans" w:hAnsi="Noto Sans" w:cs="Arial"/>
          <w:b/>
          <w:sz w:val="20"/>
          <w:szCs w:val="20"/>
        </w:rPr>
        <w:t>2020</w:t>
      </w:r>
    </w:p>
    <w:p w14:paraId="6FCE105C" w14:textId="77777777" w:rsidR="00683A6F" w:rsidRPr="00D4639B" w:rsidRDefault="00683A6F" w:rsidP="00683A6F">
      <w:pPr>
        <w:pStyle w:val="ListParagraph"/>
        <w:numPr>
          <w:ilvl w:val="0"/>
          <w:numId w:val="11"/>
        </w:numPr>
        <w:rPr>
          <w:rFonts w:ascii="Noto Sans" w:hAnsi="Noto Sans" w:cs="Arial"/>
          <w:b/>
          <w:sz w:val="20"/>
          <w:szCs w:val="20"/>
        </w:rPr>
      </w:pPr>
      <w:r w:rsidRPr="00D4639B">
        <w:rPr>
          <w:rFonts w:ascii="Noto Sans" w:hAnsi="Noto Sans" w:cs="Arial"/>
          <w:b/>
          <w:sz w:val="20"/>
          <w:szCs w:val="20"/>
        </w:rPr>
        <w:t xml:space="preserve">Introduction </w:t>
      </w:r>
    </w:p>
    <w:p w14:paraId="4F567CED" w14:textId="3BE88840" w:rsidR="00501911" w:rsidRPr="00D4639B" w:rsidRDefault="00501911" w:rsidP="00501911">
      <w:pPr>
        <w:rPr>
          <w:rFonts w:ascii="Noto Sans" w:hAnsi="Noto Sans" w:cs="Arial"/>
          <w:sz w:val="20"/>
          <w:szCs w:val="20"/>
        </w:rPr>
      </w:pPr>
      <w:r w:rsidRPr="00D4639B">
        <w:rPr>
          <w:rFonts w:ascii="Noto Sans" w:hAnsi="Noto Sans" w:cs="Arial"/>
          <w:sz w:val="20"/>
          <w:szCs w:val="20"/>
        </w:rPr>
        <w:t>This statement sets out the principles governing decisions about the</w:t>
      </w:r>
      <w:r w:rsidR="00AA01D9">
        <w:rPr>
          <w:rFonts w:ascii="Noto Sans" w:hAnsi="Noto Sans" w:cs="Arial"/>
          <w:sz w:val="20"/>
          <w:szCs w:val="20"/>
        </w:rPr>
        <w:t xml:space="preserve"> investment of the assets of </w:t>
      </w:r>
      <w:r w:rsidR="004B323A">
        <w:rPr>
          <w:rFonts w:ascii="Noto Sans" w:hAnsi="Noto Sans" w:cs="Arial"/>
          <w:sz w:val="20"/>
          <w:szCs w:val="20"/>
        </w:rPr>
        <w:t xml:space="preserve">The </w:t>
      </w:r>
      <w:r w:rsidR="004B323A" w:rsidRPr="004B323A">
        <w:rPr>
          <w:rFonts w:ascii="Noto Sans" w:hAnsi="Noto Sans" w:cs="Arial"/>
          <w:sz w:val="20"/>
          <w:szCs w:val="20"/>
        </w:rPr>
        <w:t>Singleton Birch Limited Retirement Benefits Scheme</w:t>
      </w:r>
      <w:r w:rsidR="00AA01D9">
        <w:rPr>
          <w:rFonts w:ascii="Noto Sans" w:hAnsi="Noto Sans" w:cs="Arial"/>
          <w:sz w:val="20"/>
          <w:szCs w:val="20"/>
        </w:rPr>
        <w:t xml:space="preserve"> </w:t>
      </w:r>
      <w:r w:rsidRPr="00AA01D9">
        <w:rPr>
          <w:rFonts w:ascii="Noto Sans" w:hAnsi="Noto Sans" w:cs="Arial"/>
          <w:sz w:val="20"/>
          <w:szCs w:val="20"/>
        </w:rPr>
        <w:t>(‘the Scheme’).</w:t>
      </w:r>
      <w:r w:rsidRPr="00D4639B">
        <w:rPr>
          <w:rFonts w:ascii="Noto Sans" w:hAnsi="Noto Sans" w:cs="Arial"/>
          <w:sz w:val="20"/>
          <w:szCs w:val="20"/>
        </w:rPr>
        <w:t xml:space="preserve"> The </w:t>
      </w:r>
      <w:r w:rsidRPr="00AA01D9">
        <w:rPr>
          <w:rFonts w:ascii="Noto Sans" w:hAnsi="Noto Sans" w:cs="Arial"/>
          <w:sz w:val="20"/>
          <w:szCs w:val="20"/>
        </w:rPr>
        <w:t>Trustees</w:t>
      </w:r>
      <w:r w:rsidRPr="00D4639B">
        <w:rPr>
          <w:rFonts w:ascii="Noto Sans" w:hAnsi="Noto Sans" w:cs="Arial"/>
          <w:sz w:val="20"/>
          <w:szCs w:val="20"/>
        </w:rPr>
        <w:t xml:space="preserve"> of the </w:t>
      </w:r>
      <w:r w:rsidRPr="00AA01D9">
        <w:rPr>
          <w:rFonts w:ascii="Noto Sans" w:hAnsi="Noto Sans" w:cs="Arial"/>
          <w:sz w:val="20"/>
          <w:szCs w:val="20"/>
        </w:rPr>
        <w:t>Scheme (‘the Trustees’)</w:t>
      </w:r>
      <w:r w:rsidRPr="00D4639B">
        <w:rPr>
          <w:rFonts w:ascii="Noto Sans" w:hAnsi="Noto Sans" w:cs="Arial"/>
          <w:sz w:val="20"/>
          <w:szCs w:val="20"/>
        </w:rPr>
        <w:t xml:space="preserve"> issue</w:t>
      </w:r>
      <w:r w:rsidR="00E747CF" w:rsidRPr="00D4639B">
        <w:rPr>
          <w:rFonts w:ascii="Noto Sans" w:hAnsi="Noto Sans" w:cs="Arial"/>
          <w:sz w:val="20"/>
          <w:szCs w:val="20"/>
        </w:rPr>
        <w:t xml:space="preserve"> this statement to comply with </w:t>
      </w:r>
      <w:r w:rsidRPr="00D4639B">
        <w:rPr>
          <w:rFonts w:ascii="Noto Sans" w:hAnsi="Noto Sans" w:cs="Arial"/>
          <w:sz w:val="20"/>
          <w:szCs w:val="20"/>
        </w:rPr>
        <w:t>the Pensions Act 1995 and the Occupational Pension Schemes (Investment) Re</w:t>
      </w:r>
      <w:r w:rsidR="00C966EC" w:rsidRPr="00D4639B">
        <w:rPr>
          <w:rFonts w:ascii="Noto Sans" w:hAnsi="Noto Sans" w:cs="Arial"/>
          <w:sz w:val="20"/>
          <w:szCs w:val="20"/>
        </w:rPr>
        <w:t xml:space="preserve">gulations 2005. </w:t>
      </w:r>
    </w:p>
    <w:p w14:paraId="44037254" w14:textId="33882474" w:rsidR="00501911" w:rsidRPr="00D4639B" w:rsidRDefault="00501911" w:rsidP="008130E2">
      <w:pPr>
        <w:rPr>
          <w:rFonts w:ascii="Noto Sans" w:hAnsi="Noto Sans" w:cs="Arial"/>
          <w:sz w:val="20"/>
          <w:szCs w:val="20"/>
        </w:rPr>
      </w:pPr>
      <w:r w:rsidRPr="00D4639B">
        <w:rPr>
          <w:rFonts w:ascii="Noto Sans" w:hAnsi="Noto Sans" w:cs="Arial"/>
          <w:sz w:val="20"/>
          <w:szCs w:val="20"/>
        </w:rPr>
        <w:t xml:space="preserve">This statement </w:t>
      </w:r>
      <w:r w:rsidR="008130E2" w:rsidRPr="00D4639B">
        <w:rPr>
          <w:rFonts w:ascii="Noto Sans" w:hAnsi="Noto Sans" w:cs="Arial"/>
          <w:sz w:val="20"/>
          <w:szCs w:val="20"/>
        </w:rPr>
        <w:t>will be reviewed at least once every three years or after any significant change in investment policy.</w:t>
      </w:r>
    </w:p>
    <w:p w14:paraId="5345DF60" w14:textId="6996EF48" w:rsidR="005F6457" w:rsidRPr="00D4639B" w:rsidRDefault="00501911" w:rsidP="00501911">
      <w:pPr>
        <w:rPr>
          <w:rFonts w:ascii="Noto Sans" w:hAnsi="Noto Sans" w:cs="Arial"/>
          <w:sz w:val="20"/>
          <w:szCs w:val="20"/>
        </w:rPr>
      </w:pPr>
      <w:r w:rsidRPr="00D4639B">
        <w:rPr>
          <w:rFonts w:ascii="Noto Sans" w:hAnsi="Noto Sans" w:cs="Arial"/>
          <w:sz w:val="20"/>
          <w:szCs w:val="20"/>
        </w:rPr>
        <w:t xml:space="preserve">Before preparing this statement, the </w:t>
      </w:r>
      <w:r w:rsidRPr="00AA01D9">
        <w:rPr>
          <w:rFonts w:ascii="Noto Sans" w:hAnsi="Noto Sans" w:cs="Arial"/>
          <w:sz w:val="20"/>
          <w:szCs w:val="20"/>
        </w:rPr>
        <w:t>Trustees</w:t>
      </w:r>
      <w:r w:rsidRPr="00D4639B">
        <w:rPr>
          <w:rFonts w:ascii="Noto Sans" w:hAnsi="Noto Sans" w:cs="Arial"/>
          <w:sz w:val="20"/>
          <w:szCs w:val="20"/>
        </w:rPr>
        <w:t xml:space="preserve"> have</w:t>
      </w:r>
      <w:r w:rsidR="00F623AA" w:rsidRPr="00D4639B">
        <w:rPr>
          <w:rFonts w:ascii="Noto Sans" w:hAnsi="Noto Sans" w:cs="Arial"/>
          <w:sz w:val="20"/>
          <w:szCs w:val="20"/>
        </w:rPr>
        <w:t>:</w:t>
      </w:r>
    </w:p>
    <w:p w14:paraId="3A973E11" w14:textId="77777777" w:rsidR="00501911" w:rsidRPr="00D4639B" w:rsidRDefault="00501911" w:rsidP="00FA5B0C">
      <w:pPr>
        <w:pStyle w:val="ListParagraph"/>
        <w:numPr>
          <w:ilvl w:val="0"/>
          <w:numId w:val="16"/>
        </w:numPr>
        <w:rPr>
          <w:rFonts w:ascii="Noto Sans" w:hAnsi="Noto Sans" w:cs="Arial"/>
          <w:sz w:val="20"/>
          <w:szCs w:val="20"/>
        </w:rPr>
      </w:pPr>
      <w:r w:rsidRPr="00D4639B">
        <w:rPr>
          <w:rFonts w:ascii="Noto Sans" w:hAnsi="Noto Sans" w:cs="Arial"/>
          <w:sz w:val="20"/>
          <w:szCs w:val="20"/>
        </w:rPr>
        <w:t xml:space="preserve">obtained and considered the written advice of a person </w:t>
      </w:r>
      <w:r w:rsidR="00C966EC" w:rsidRPr="00D4639B">
        <w:rPr>
          <w:rFonts w:ascii="Noto Sans" w:hAnsi="Noto Sans" w:cs="Arial"/>
          <w:sz w:val="20"/>
          <w:szCs w:val="20"/>
        </w:rPr>
        <w:t xml:space="preserve">who is reasonably believed by the </w:t>
      </w:r>
      <w:r w:rsidR="00C966EC" w:rsidRPr="00AA01D9">
        <w:rPr>
          <w:rFonts w:ascii="Noto Sans" w:hAnsi="Noto Sans" w:cs="Arial"/>
          <w:sz w:val="20"/>
          <w:szCs w:val="20"/>
        </w:rPr>
        <w:t>Trustees</w:t>
      </w:r>
      <w:r w:rsidR="00C966EC" w:rsidRPr="00D4639B">
        <w:rPr>
          <w:rFonts w:ascii="Noto Sans" w:hAnsi="Noto Sans" w:cs="Arial"/>
          <w:sz w:val="20"/>
          <w:szCs w:val="20"/>
        </w:rPr>
        <w:t xml:space="preserve"> to have the appropriate knowledge and experience of financial matters and investment management</w:t>
      </w:r>
      <w:r w:rsidR="005F6457" w:rsidRPr="00D4639B">
        <w:rPr>
          <w:rFonts w:ascii="Noto Sans" w:hAnsi="Noto Sans" w:cs="Arial"/>
          <w:sz w:val="20"/>
          <w:szCs w:val="20"/>
        </w:rPr>
        <w:t xml:space="preserve">; </w:t>
      </w:r>
      <w:r w:rsidRPr="00D4639B">
        <w:rPr>
          <w:rFonts w:ascii="Noto Sans" w:hAnsi="Noto Sans" w:cs="Arial"/>
          <w:sz w:val="20"/>
          <w:szCs w:val="20"/>
        </w:rPr>
        <w:t>and</w:t>
      </w:r>
    </w:p>
    <w:p w14:paraId="5734E3FF" w14:textId="43856318" w:rsidR="008942BD" w:rsidRPr="00D4639B" w:rsidRDefault="00501911" w:rsidP="00FA5B0C">
      <w:pPr>
        <w:pStyle w:val="ListParagraph"/>
        <w:numPr>
          <w:ilvl w:val="0"/>
          <w:numId w:val="16"/>
        </w:numPr>
        <w:rPr>
          <w:rFonts w:ascii="Noto Sans" w:hAnsi="Noto Sans" w:cs="Arial"/>
          <w:sz w:val="20"/>
          <w:szCs w:val="20"/>
        </w:rPr>
      </w:pPr>
      <w:r w:rsidRPr="00D4639B">
        <w:rPr>
          <w:rFonts w:ascii="Noto Sans" w:hAnsi="Noto Sans" w:cs="Arial"/>
          <w:sz w:val="20"/>
          <w:szCs w:val="20"/>
        </w:rPr>
        <w:t xml:space="preserve">consulted the </w:t>
      </w:r>
      <w:r w:rsidR="00BA5606">
        <w:rPr>
          <w:rFonts w:ascii="Noto Sans" w:hAnsi="Noto Sans" w:cs="Arial"/>
          <w:sz w:val="20"/>
          <w:szCs w:val="20"/>
        </w:rPr>
        <w:t>sponsor</w:t>
      </w:r>
      <w:r w:rsidRPr="00D4639B">
        <w:rPr>
          <w:rFonts w:ascii="Noto Sans" w:hAnsi="Noto Sans" w:cs="Arial"/>
          <w:sz w:val="20"/>
          <w:szCs w:val="20"/>
        </w:rPr>
        <w:t xml:space="preserve"> in relation to the </w:t>
      </w:r>
      <w:r w:rsidRPr="00AA01D9">
        <w:rPr>
          <w:rFonts w:ascii="Noto Sans" w:hAnsi="Noto Sans" w:cs="Arial"/>
          <w:sz w:val="20"/>
          <w:szCs w:val="20"/>
        </w:rPr>
        <w:t>Scheme</w:t>
      </w:r>
      <w:r w:rsidRPr="00D4639B">
        <w:rPr>
          <w:rFonts w:ascii="Noto Sans" w:hAnsi="Noto Sans" w:cs="Arial"/>
          <w:sz w:val="20"/>
          <w:szCs w:val="20"/>
        </w:rPr>
        <w:t>.</w:t>
      </w:r>
    </w:p>
    <w:p w14:paraId="742E8DB6" w14:textId="77777777" w:rsidR="00683A6F" w:rsidRPr="00D4639B" w:rsidRDefault="00683A6F" w:rsidP="00683A6F">
      <w:pPr>
        <w:pStyle w:val="ListParagraph"/>
        <w:rPr>
          <w:rFonts w:ascii="Noto Sans" w:hAnsi="Noto Sans" w:cs="Arial"/>
          <w:sz w:val="20"/>
          <w:szCs w:val="20"/>
        </w:rPr>
      </w:pPr>
    </w:p>
    <w:p w14:paraId="38FF71FC" w14:textId="77777777" w:rsidR="00683A6F" w:rsidRPr="00D4639B" w:rsidRDefault="00683A6F" w:rsidP="00B043B4">
      <w:pPr>
        <w:pStyle w:val="ListParagraph"/>
        <w:numPr>
          <w:ilvl w:val="0"/>
          <w:numId w:val="11"/>
        </w:numPr>
        <w:autoSpaceDE w:val="0"/>
        <w:autoSpaceDN w:val="0"/>
        <w:adjustRightInd w:val="0"/>
        <w:spacing w:after="0" w:line="240" w:lineRule="auto"/>
        <w:rPr>
          <w:rFonts w:ascii="Noto Sans" w:hAnsi="Noto Sans" w:cs="Arial"/>
          <w:b/>
          <w:sz w:val="20"/>
          <w:szCs w:val="20"/>
        </w:rPr>
      </w:pPr>
      <w:r w:rsidRPr="00D4639B">
        <w:rPr>
          <w:rFonts w:ascii="Noto Sans" w:hAnsi="Noto Sans" w:cs="Arial"/>
          <w:b/>
          <w:sz w:val="20"/>
          <w:szCs w:val="20"/>
        </w:rPr>
        <w:t>Investment o</w:t>
      </w:r>
      <w:r w:rsidR="008130E2" w:rsidRPr="00D4639B">
        <w:rPr>
          <w:rFonts w:ascii="Noto Sans" w:hAnsi="Noto Sans" w:cs="Arial"/>
          <w:b/>
          <w:sz w:val="20"/>
          <w:szCs w:val="20"/>
        </w:rPr>
        <w:t>bjectives</w:t>
      </w:r>
      <w:r w:rsidRPr="00D4639B">
        <w:rPr>
          <w:rFonts w:ascii="Noto Sans" w:hAnsi="Noto Sans" w:cs="Arial"/>
          <w:b/>
          <w:sz w:val="20"/>
          <w:szCs w:val="20"/>
        </w:rPr>
        <w:t xml:space="preserve"> </w:t>
      </w:r>
    </w:p>
    <w:p w14:paraId="3AC4958E" w14:textId="77777777" w:rsidR="00683A6F" w:rsidRPr="00D4639B" w:rsidRDefault="00683A6F" w:rsidP="00683A6F">
      <w:pPr>
        <w:pStyle w:val="ListParagraph"/>
        <w:autoSpaceDE w:val="0"/>
        <w:autoSpaceDN w:val="0"/>
        <w:adjustRightInd w:val="0"/>
        <w:spacing w:after="0" w:line="240" w:lineRule="auto"/>
        <w:rPr>
          <w:rFonts w:ascii="Noto Sans" w:hAnsi="Noto Sans" w:cs="Arial"/>
          <w:sz w:val="20"/>
          <w:szCs w:val="20"/>
        </w:rPr>
      </w:pPr>
    </w:p>
    <w:p w14:paraId="22AA4D97" w14:textId="77777777" w:rsidR="00683A6F" w:rsidRPr="00D4639B" w:rsidRDefault="00683A6F" w:rsidP="00B043B4">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Pr="00AA01D9">
        <w:rPr>
          <w:rFonts w:ascii="Noto Sans" w:hAnsi="Noto Sans" w:cs="Arial"/>
          <w:sz w:val="20"/>
          <w:szCs w:val="20"/>
        </w:rPr>
        <w:t>Trustees’</w:t>
      </w:r>
      <w:r w:rsidRPr="00D4639B">
        <w:rPr>
          <w:rFonts w:ascii="Noto Sans" w:hAnsi="Noto Sans" w:cs="Arial"/>
          <w:sz w:val="20"/>
          <w:szCs w:val="20"/>
        </w:rPr>
        <w:t xml:space="preserve"> main objectives with regard to investment policy are as follows: </w:t>
      </w:r>
    </w:p>
    <w:p w14:paraId="7A6F6DFF" w14:textId="77777777" w:rsidR="00683A6F" w:rsidRPr="00D4639B" w:rsidRDefault="00683A6F" w:rsidP="00B043B4">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 </w:t>
      </w:r>
    </w:p>
    <w:p w14:paraId="1FDBCF2B" w14:textId="77777777" w:rsidR="00683A6F" w:rsidRPr="00AA01D9" w:rsidRDefault="008130E2" w:rsidP="00FA5B0C">
      <w:pPr>
        <w:pStyle w:val="ListParagraph"/>
        <w:numPr>
          <w:ilvl w:val="0"/>
          <w:numId w:val="17"/>
        </w:num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to hold sufficient assets </w:t>
      </w:r>
      <w:r w:rsidR="00B043B4" w:rsidRPr="00D4639B">
        <w:rPr>
          <w:rFonts w:ascii="Noto Sans" w:hAnsi="Noto Sans" w:cs="Arial"/>
          <w:sz w:val="20"/>
          <w:szCs w:val="20"/>
        </w:rPr>
        <w:t>to mee</w:t>
      </w:r>
      <w:r w:rsidR="00E747CF" w:rsidRPr="00D4639B">
        <w:rPr>
          <w:rFonts w:ascii="Noto Sans" w:hAnsi="Noto Sans" w:cs="Arial"/>
          <w:sz w:val="20"/>
          <w:szCs w:val="20"/>
        </w:rPr>
        <w:t xml:space="preserve">t the liabilities of the </w:t>
      </w:r>
      <w:r w:rsidR="00E747CF" w:rsidRPr="00AA01D9">
        <w:rPr>
          <w:rFonts w:ascii="Noto Sans" w:hAnsi="Noto Sans" w:cs="Arial"/>
          <w:sz w:val="20"/>
          <w:szCs w:val="20"/>
        </w:rPr>
        <w:t>Scheme</w:t>
      </w:r>
      <w:r w:rsidR="00E747CF" w:rsidRPr="00D4639B">
        <w:rPr>
          <w:rFonts w:ascii="Noto Sans" w:hAnsi="Noto Sans" w:cs="Arial"/>
          <w:sz w:val="20"/>
          <w:szCs w:val="20"/>
        </w:rPr>
        <w:t xml:space="preserve">; and </w:t>
      </w:r>
    </w:p>
    <w:p w14:paraId="4EA75E17" w14:textId="72E52EF1" w:rsidR="00683A6F" w:rsidRPr="00AA01D9" w:rsidRDefault="00683A6F" w:rsidP="00FA5B0C">
      <w:pPr>
        <w:pStyle w:val="ListParagraph"/>
        <w:numPr>
          <w:ilvl w:val="0"/>
          <w:numId w:val="17"/>
        </w:num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to ensure that sufficient liquid assets are available to meet ben</w:t>
      </w:r>
      <w:r w:rsidR="00E747CF" w:rsidRPr="00D4639B">
        <w:rPr>
          <w:rFonts w:ascii="Noto Sans" w:hAnsi="Noto Sans" w:cs="Arial"/>
          <w:sz w:val="20"/>
          <w:szCs w:val="20"/>
        </w:rPr>
        <w:t>efit</w:t>
      </w:r>
      <w:r w:rsidR="00AA01D9">
        <w:rPr>
          <w:rFonts w:ascii="Noto Sans" w:hAnsi="Noto Sans" w:cs="Arial"/>
          <w:sz w:val="20"/>
          <w:szCs w:val="20"/>
        </w:rPr>
        <w:t xml:space="preserve"> payments as they fall due. </w:t>
      </w:r>
    </w:p>
    <w:p w14:paraId="50EB44C1" w14:textId="77777777" w:rsidR="00B043B4" w:rsidRPr="00D4639B" w:rsidRDefault="00B043B4" w:rsidP="008130E2">
      <w:pPr>
        <w:autoSpaceDE w:val="0"/>
        <w:autoSpaceDN w:val="0"/>
        <w:adjustRightInd w:val="0"/>
        <w:spacing w:after="0" w:line="240" w:lineRule="auto"/>
        <w:rPr>
          <w:rFonts w:ascii="Noto Sans" w:hAnsi="Noto Sans" w:cs="Arial"/>
          <w:sz w:val="20"/>
          <w:szCs w:val="20"/>
        </w:rPr>
      </w:pPr>
    </w:p>
    <w:p w14:paraId="6CB98C4F" w14:textId="77777777" w:rsidR="00B043B4" w:rsidRPr="00D4639B" w:rsidRDefault="00B043B4" w:rsidP="008130E2">
      <w:pPr>
        <w:autoSpaceDE w:val="0"/>
        <w:autoSpaceDN w:val="0"/>
        <w:adjustRightInd w:val="0"/>
        <w:spacing w:after="0" w:line="240" w:lineRule="auto"/>
        <w:rPr>
          <w:rFonts w:ascii="Noto Sans" w:hAnsi="Noto Sans" w:cs="Arial"/>
          <w:sz w:val="20"/>
          <w:szCs w:val="20"/>
        </w:rPr>
      </w:pPr>
    </w:p>
    <w:p w14:paraId="254897A1" w14:textId="77777777" w:rsidR="008130E2" w:rsidRPr="00D4639B" w:rsidRDefault="00B043B4" w:rsidP="00E747CF">
      <w:pPr>
        <w:pStyle w:val="ListParagraph"/>
        <w:numPr>
          <w:ilvl w:val="0"/>
          <w:numId w:val="11"/>
        </w:numPr>
        <w:autoSpaceDE w:val="0"/>
        <w:autoSpaceDN w:val="0"/>
        <w:adjustRightInd w:val="0"/>
        <w:spacing w:after="0" w:line="240" w:lineRule="auto"/>
        <w:rPr>
          <w:rFonts w:ascii="Noto Sans" w:hAnsi="Noto Sans" w:cs="Arial"/>
          <w:b/>
          <w:sz w:val="20"/>
          <w:szCs w:val="20"/>
        </w:rPr>
      </w:pPr>
      <w:r w:rsidRPr="00D4639B">
        <w:rPr>
          <w:rFonts w:ascii="Noto Sans" w:hAnsi="Noto Sans" w:cs="Arial"/>
          <w:b/>
          <w:sz w:val="20"/>
          <w:szCs w:val="20"/>
        </w:rPr>
        <w:t>Policy on choosing investments</w:t>
      </w:r>
    </w:p>
    <w:p w14:paraId="6CEDC8BD" w14:textId="77777777" w:rsidR="00E747CF" w:rsidRPr="00D4639B" w:rsidRDefault="00E747CF" w:rsidP="00E747CF">
      <w:pPr>
        <w:autoSpaceDE w:val="0"/>
        <w:autoSpaceDN w:val="0"/>
        <w:adjustRightInd w:val="0"/>
        <w:spacing w:after="0" w:line="240" w:lineRule="auto"/>
        <w:rPr>
          <w:rFonts w:ascii="Noto Sans" w:hAnsi="Noto Sans" w:cs="Arial"/>
          <w:sz w:val="20"/>
          <w:szCs w:val="20"/>
        </w:rPr>
      </w:pPr>
    </w:p>
    <w:p w14:paraId="793ADEE9" w14:textId="77777777" w:rsidR="00E747CF" w:rsidRPr="00D4639B" w:rsidRDefault="00E747CF" w:rsidP="00E747CF">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The policy on choosing investments is as follows:</w:t>
      </w:r>
    </w:p>
    <w:p w14:paraId="62869258" w14:textId="77777777" w:rsidR="00B043B4" w:rsidRPr="00D4639B" w:rsidRDefault="00B043B4" w:rsidP="00B043B4">
      <w:pPr>
        <w:autoSpaceDE w:val="0"/>
        <w:autoSpaceDN w:val="0"/>
        <w:adjustRightInd w:val="0"/>
        <w:spacing w:after="0" w:line="240" w:lineRule="auto"/>
        <w:rPr>
          <w:rFonts w:ascii="Noto Sans" w:hAnsi="Noto Sans" w:cs="Arial"/>
          <w:sz w:val="20"/>
          <w:szCs w:val="20"/>
        </w:rPr>
      </w:pPr>
    </w:p>
    <w:p w14:paraId="5FA923FE" w14:textId="1BA7D5B4" w:rsidR="00B043B4" w:rsidRPr="00D4639B" w:rsidRDefault="00B043B4" w:rsidP="00FA5B0C">
      <w:pPr>
        <w:pStyle w:val="ListParagraph"/>
        <w:numPr>
          <w:ilvl w:val="0"/>
          <w:numId w:val="18"/>
        </w:num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nature </w:t>
      </w:r>
      <w:r w:rsidR="00D927DA" w:rsidRPr="00D4639B">
        <w:rPr>
          <w:rFonts w:ascii="Noto Sans" w:hAnsi="Noto Sans" w:cs="Arial"/>
          <w:sz w:val="20"/>
          <w:szCs w:val="20"/>
        </w:rPr>
        <w:t>of the</w:t>
      </w:r>
      <w:r w:rsidRPr="00D4639B">
        <w:rPr>
          <w:rFonts w:ascii="Noto Sans" w:hAnsi="Noto Sans" w:cs="Arial"/>
          <w:sz w:val="20"/>
          <w:szCs w:val="20"/>
        </w:rPr>
        <w:t xml:space="preserve"> liabilities</w:t>
      </w:r>
      <w:r w:rsidR="00D927DA" w:rsidRPr="00D4639B">
        <w:rPr>
          <w:rFonts w:ascii="Noto Sans" w:hAnsi="Noto Sans" w:cs="Arial"/>
          <w:sz w:val="20"/>
          <w:szCs w:val="20"/>
        </w:rPr>
        <w:t xml:space="preserve"> of the </w:t>
      </w:r>
      <w:r w:rsidR="00D927DA" w:rsidRPr="00AA01D9">
        <w:rPr>
          <w:rFonts w:ascii="Noto Sans" w:hAnsi="Noto Sans" w:cs="Arial"/>
          <w:sz w:val="20"/>
          <w:szCs w:val="20"/>
        </w:rPr>
        <w:t>Scheme</w:t>
      </w:r>
      <w:r w:rsidR="00E747CF" w:rsidRPr="00D4639B">
        <w:rPr>
          <w:rFonts w:ascii="Noto Sans" w:hAnsi="Noto Sans" w:cs="Arial"/>
          <w:sz w:val="20"/>
          <w:szCs w:val="20"/>
        </w:rPr>
        <w:t xml:space="preserve"> </w:t>
      </w:r>
      <w:r w:rsidR="00FA5B0C">
        <w:rPr>
          <w:rFonts w:ascii="Noto Sans" w:hAnsi="Noto Sans" w:cs="Arial"/>
          <w:sz w:val="20"/>
          <w:szCs w:val="20"/>
        </w:rPr>
        <w:t>is</w:t>
      </w:r>
      <w:r w:rsidR="00FA5B0C" w:rsidRPr="00D4639B">
        <w:rPr>
          <w:rFonts w:ascii="Noto Sans" w:hAnsi="Noto Sans" w:cs="Arial"/>
          <w:sz w:val="20"/>
          <w:szCs w:val="20"/>
        </w:rPr>
        <w:t xml:space="preserve"> </w:t>
      </w:r>
      <w:r w:rsidR="00B9307D" w:rsidRPr="00D4639B">
        <w:rPr>
          <w:rFonts w:ascii="Noto Sans" w:hAnsi="Noto Sans" w:cs="Arial"/>
          <w:sz w:val="20"/>
          <w:szCs w:val="20"/>
        </w:rPr>
        <w:t>considered</w:t>
      </w:r>
      <w:r w:rsidR="00E747CF" w:rsidRPr="00D4639B">
        <w:rPr>
          <w:rFonts w:ascii="Noto Sans" w:hAnsi="Noto Sans" w:cs="Arial"/>
          <w:sz w:val="20"/>
          <w:szCs w:val="20"/>
        </w:rPr>
        <w:t xml:space="preserve"> in setting the </w:t>
      </w:r>
      <w:r w:rsidR="00E747CF" w:rsidRPr="00AA01D9">
        <w:rPr>
          <w:rFonts w:ascii="Noto Sans" w:hAnsi="Noto Sans" w:cs="Arial"/>
          <w:sz w:val="20"/>
          <w:szCs w:val="20"/>
        </w:rPr>
        <w:t>Scheme’s</w:t>
      </w:r>
      <w:r w:rsidR="00E747CF" w:rsidRPr="00D4639B">
        <w:rPr>
          <w:rFonts w:ascii="Noto Sans" w:hAnsi="Noto Sans" w:cs="Arial"/>
          <w:sz w:val="20"/>
          <w:szCs w:val="20"/>
        </w:rPr>
        <w:t xml:space="preserve"> strategic asset allocation. This includes consideration of</w:t>
      </w:r>
      <w:r w:rsidRPr="00D4639B">
        <w:rPr>
          <w:rFonts w:ascii="Noto Sans" w:hAnsi="Noto Sans" w:cs="Arial"/>
          <w:sz w:val="20"/>
          <w:szCs w:val="20"/>
        </w:rPr>
        <w:t xml:space="preserve"> interest rates, inflation, mortality and other financial and demographic factors. </w:t>
      </w:r>
    </w:p>
    <w:p w14:paraId="76D6A1EF" w14:textId="77777777" w:rsidR="00B043B4" w:rsidRPr="00D4639B" w:rsidRDefault="00B043B4" w:rsidP="00B043B4">
      <w:pPr>
        <w:autoSpaceDE w:val="0"/>
        <w:autoSpaceDN w:val="0"/>
        <w:adjustRightInd w:val="0"/>
        <w:spacing w:after="0" w:line="240" w:lineRule="auto"/>
        <w:rPr>
          <w:rFonts w:ascii="Noto Sans" w:hAnsi="Noto Sans" w:cs="Arial"/>
          <w:sz w:val="20"/>
          <w:szCs w:val="20"/>
        </w:rPr>
      </w:pPr>
    </w:p>
    <w:p w14:paraId="5CFB0DF7" w14:textId="5D4C4897" w:rsidR="00E55C76" w:rsidRPr="00D4639B" w:rsidRDefault="00B043B4" w:rsidP="00FA5B0C">
      <w:pPr>
        <w:pStyle w:val="ListParagraph"/>
        <w:numPr>
          <w:ilvl w:val="0"/>
          <w:numId w:val="18"/>
        </w:num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00D927DA" w:rsidRPr="00AA01D9">
        <w:rPr>
          <w:rFonts w:ascii="Noto Sans" w:hAnsi="Noto Sans" w:cs="Arial"/>
          <w:sz w:val="20"/>
          <w:szCs w:val="20"/>
        </w:rPr>
        <w:t>Trustees’</w:t>
      </w:r>
      <w:r w:rsidRPr="00D4639B">
        <w:rPr>
          <w:rFonts w:ascii="Noto Sans" w:hAnsi="Noto Sans" w:cs="Arial"/>
          <w:sz w:val="20"/>
          <w:szCs w:val="20"/>
        </w:rPr>
        <w:t xml:space="preserve"> funding objectives</w:t>
      </w:r>
      <w:r w:rsidR="00E747CF" w:rsidRPr="00D4639B">
        <w:rPr>
          <w:rFonts w:ascii="Noto Sans" w:hAnsi="Noto Sans" w:cs="Arial"/>
          <w:sz w:val="20"/>
          <w:szCs w:val="20"/>
        </w:rPr>
        <w:t xml:space="preserve"> are considered</w:t>
      </w:r>
      <w:r w:rsidRPr="00D4639B">
        <w:rPr>
          <w:rFonts w:ascii="Noto Sans" w:hAnsi="Noto Sans" w:cs="Arial"/>
          <w:sz w:val="20"/>
          <w:szCs w:val="20"/>
        </w:rPr>
        <w:t>. To meet these objectives</w:t>
      </w:r>
      <w:r w:rsidR="00FA5B0C">
        <w:rPr>
          <w:rFonts w:ascii="Noto Sans" w:hAnsi="Noto Sans" w:cs="Arial"/>
          <w:sz w:val="20"/>
          <w:szCs w:val="20"/>
        </w:rPr>
        <w:t>,</w:t>
      </w:r>
      <w:r w:rsidRPr="00D4639B">
        <w:rPr>
          <w:rFonts w:ascii="Noto Sans" w:hAnsi="Noto Sans" w:cs="Arial"/>
          <w:sz w:val="20"/>
          <w:szCs w:val="20"/>
        </w:rPr>
        <w:t xml:space="preserve"> the </w:t>
      </w:r>
      <w:r w:rsidRPr="00AA01D9">
        <w:rPr>
          <w:rFonts w:ascii="Noto Sans" w:hAnsi="Noto Sans" w:cs="Arial"/>
          <w:sz w:val="20"/>
          <w:szCs w:val="20"/>
        </w:rPr>
        <w:t>Trustee</w:t>
      </w:r>
      <w:r w:rsidR="006158A8">
        <w:rPr>
          <w:rFonts w:ascii="Noto Sans" w:hAnsi="Noto Sans" w:cs="Arial"/>
          <w:sz w:val="20"/>
          <w:szCs w:val="20"/>
        </w:rPr>
        <w:t>s</w:t>
      </w:r>
      <w:r w:rsidRPr="00D4639B">
        <w:rPr>
          <w:rFonts w:ascii="Noto Sans" w:hAnsi="Noto Sans" w:cs="Arial"/>
          <w:sz w:val="20"/>
          <w:szCs w:val="20"/>
        </w:rPr>
        <w:t xml:space="preserve"> ha</w:t>
      </w:r>
      <w:r w:rsidR="006158A8">
        <w:rPr>
          <w:rFonts w:ascii="Noto Sans" w:hAnsi="Noto Sans" w:cs="Arial"/>
          <w:sz w:val="20"/>
          <w:szCs w:val="20"/>
        </w:rPr>
        <w:t>ve</w:t>
      </w:r>
      <w:r w:rsidRPr="00D4639B">
        <w:rPr>
          <w:rFonts w:ascii="Noto Sans" w:hAnsi="Noto Sans" w:cs="Arial"/>
          <w:sz w:val="20"/>
          <w:szCs w:val="20"/>
        </w:rPr>
        <w:t xml:space="preserve"> set </w:t>
      </w:r>
      <w:r w:rsidR="008E3C62" w:rsidRPr="00D4639B">
        <w:rPr>
          <w:rFonts w:ascii="Noto Sans" w:hAnsi="Noto Sans" w:cs="Arial"/>
          <w:sz w:val="20"/>
          <w:szCs w:val="20"/>
        </w:rPr>
        <w:t xml:space="preserve">an allocation to Growth and Matching assets, </w:t>
      </w:r>
      <w:r w:rsidR="00FA5B0C">
        <w:rPr>
          <w:rFonts w:ascii="Noto Sans" w:hAnsi="Noto Sans" w:cs="Arial"/>
          <w:sz w:val="20"/>
          <w:szCs w:val="20"/>
        </w:rPr>
        <w:t xml:space="preserve">and a target level of liability coverage, </w:t>
      </w:r>
      <w:r w:rsidR="008E3C62" w:rsidRPr="00D4639B">
        <w:rPr>
          <w:rFonts w:ascii="Noto Sans" w:hAnsi="Noto Sans" w:cs="Arial"/>
          <w:sz w:val="20"/>
          <w:szCs w:val="20"/>
        </w:rPr>
        <w:t xml:space="preserve">which in </w:t>
      </w:r>
      <w:r w:rsidR="00F006AA">
        <w:rPr>
          <w:rFonts w:ascii="Noto Sans" w:hAnsi="Noto Sans" w:cs="Arial"/>
          <w:sz w:val="20"/>
          <w:szCs w:val="20"/>
        </w:rPr>
        <w:t>their</w:t>
      </w:r>
      <w:r w:rsidR="00F006AA" w:rsidRPr="00D4639B">
        <w:rPr>
          <w:rFonts w:ascii="Noto Sans" w:hAnsi="Noto Sans" w:cs="Arial"/>
          <w:sz w:val="20"/>
          <w:szCs w:val="20"/>
        </w:rPr>
        <w:t xml:space="preserve"> </w:t>
      </w:r>
      <w:r w:rsidR="008E3C62" w:rsidRPr="00D4639B">
        <w:rPr>
          <w:rFonts w:ascii="Noto Sans" w:hAnsi="Noto Sans" w:cs="Arial"/>
          <w:sz w:val="20"/>
          <w:szCs w:val="20"/>
        </w:rPr>
        <w:t xml:space="preserve">opinion </w:t>
      </w:r>
      <w:r w:rsidR="00FA5B0C">
        <w:rPr>
          <w:rFonts w:ascii="Noto Sans" w:hAnsi="Noto Sans" w:cs="Arial"/>
          <w:sz w:val="20"/>
          <w:szCs w:val="20"/>
        </w:rPr>
        <w:t>are</w:t>
      </w:r>
      <w:r w:rsidR="008E3C62" w:rsidRPr="00D4639B">
        <w:rPr>
          <w:rFonts w:ascii="Noto Sans" w:hAnsi="Noto Sans" w:cs="Arial"/>
          <w:sz w:val="20"/>
          <w:szCs w:val="20"/>
        </w:rPr>
        <w:t xml:space="preserve"> consistent with </w:t>
      </w:r>
      <w:r w:rsidR="00F006AA">
        <w:rPr>
          <w:rFonts w:ascii="Noto Sans" w:hAnsi="Noto Sans" w:cs="Arial"/>
          <w:sz w:val="20"/>
          <w:szCs w:val="20"/>
        </w:rPr>
        <w:t>their</w:t>
      </w:r>
      <w:r w:rsidR="00F006AA" w:rsidRPr="00D4639B">
        <w:rPr>
          <w:rFonts w:ascii="Noto Sans" w:hAnsi="Noto Sans" w:cs="Arial"/>
          <w:sz w:val="20"/>
          <w:szCs w:val="20"/>
        </w:rPr>
        <w:t xml:space="preserve"> </w:t>
      </w:r>
      <w:r w:rsidR="008E3C62" w:rsidRPr="00D4639B">
        <w:rPr>
          <w:rFonts w:ascii="Noto Sans" w:hAnsi="Noto Sans" w:cs="Arial"/>
          <w:sz w:val="20"/>
          <w:szCs w:val="20"/>
        </w:rPr>
        <w:t xml:space="preserve">funding objectives and risk appetite. </w:t>
      </w:r>
    </w:p>
    <w:p w14:paraId="22760947" w14:textId="77777777" w:rsidR="00C3736B" w:rsidRPr="00D4639B" w:rsidRDefault="00C3736B" w:rsidP="00C3736B">
      <w:pPr>
        <w:pStyle w:val="ListParagraph"/>
        <w:rPr>
          <w:rFonts w:ascii="Noto Sans" w:hAnsi="Noto Sans" w:cs="Arial"/>
          <w:sz w:val="20"/>
          <w:szCs w:val="20"/>
        </w:rPr>
      </w:pPr>
    </w:p>
    <w:p w14:paraId="060FAD3F" w14:textId="4F062435" w:rsidR="00C3736B" w:rsidRPr="00D4639B" w:rsidRDefault="00C3736B" w:rsidP="00FA5B0C">
      <w:pPr>
        <w:pStyle w:val="ListParagraph"/>
        <w:numPr>
          <w:ilvl w:val="0"/>
          <w:numId w:val="18"/>
        </w:num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Pr="00AA01D9">
        <w:rPr>
          <w:rFonts w:ascii="Noto Sans" w:hAnsi="Noto Sans" w:cs="Arial"/>
          <w:sz w:val="20"/>
          <w:szCs w:val="20"/>
        </w:rPr>
        <w:t>Scheme’s</w:t>
      </w:r>
      <w:r w:rsidRPr="00D4639B">
        <w:rPr>
          <w:rFonts w:ascii="Noto Sans" w:hAnsi="Noto Sans" w:cs="Arial"/>
          <w:sz w:val="20"/>
          <w:szCs w:val="20"/>
        </w:rPr>
        <w:t xml:space="preserve"> funding objective</w:t>
      </w:r>
      <w:r w:rsidR="006158A8">
        <w:rPr>
          <w:rFonts w:ascii="Noto Sans" w:hAnsi="Noto Sans" w:cs="Arial"/>
          <w:sz w:val="20"/>
          <w:szCs w:val="20"/>
        </w:rPr>
        <w:t>, Growth and Matching asset allocation, and target liability coverage</w:t>
      </w:r>
      <w:r w:rsidRPr="00D4639B">
        <w:rPr>
          <w:rFonts w:ascii="Noto Sans" w:hAnsi="Noto Sans" w:cs="Arial"/>
          <w:sz w:val="20"/>
          <w:szCs w:val="20"/>
        </w:rPr>
        <w:t xml:space="preserve"> form part of the </w:t>
      </w:r>
      <w:r w:rsidRPr="00AA01D9">
        <w:rPr>
          <w:rFonts w:ascii="Noto Sans" w:hAnsi="Noto Sans" w:cs="Arial"/>
          <w:sz w:val="20"/>
          <w:szCs w:val="20"/>
        </w:rPr>
        <w:t>Trustees</w:t>
      </w:r>
      <w:r w:rsidR="006158A8">
        <w:rPr>
          <w:rFonts w:ascii="Noto Sans" w:hAnsi="Noto Sans" w:cs="Arial"/>
          <w:sz w:val="20"/>
          <w:szCs w:val="20"/>
        </w:rPr>
        <w:t>’</w:t>
      </w:r>
      <w:r w:rsidRPr="00D4639B">
        <w:rPr>
          <w:rFonts w:ascii="Noto Sans" w:hAnsi="Noto Sans" w:cs="Arial"/>
          <w:sz w:val="20"/>
          <w:szCs w:val="20"/>
        </w:rPr>
        <w:t xml:space="preserve"> investment policy. The implementation of the investment policy is delegated to a fiduciary manager.</w:t>
      </w:r>
    </w:p>
    <w:p w14:paraId="033A8CFC" w14:textId="77777777" w:rsidR="00AA01D9" w:rsidRDefault="001B733A" w:rsidP="00FA5B0C">
      <w:pPr>
        <w:pStyle w:val="ListParagraph"/>
        <w:numPr>
          <w:ilvl w:val="0"/>
          <w:numId w:val="18"/>
        </w:num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lastRenderedPageBreak/>
        <w:t>t</w:t>
      </w:r>
      <w:r w:rsidR="00B531AF" w:rsidRPr="00D4639B">
        <w:rPr>
          <w:rFonts w:ascii="Noto Sans" w:hAnsi="Noto Sans" w:cs="Arial"/>
          <w:sz w:val="20"/>
          <w:szCs w:val="20"/>
        </w:rPr>
        <w:t xml:space="preserve">he </w:t>
      </w:r>
      <w:r w:rsidR="00B531AF" w:rsidRPr="00AA01D9">
        <w:rPr>
          <w:rFonts w:ascii="Noto Sans" w:hAnsi="Noto Sans" w:cs="Arial"/>
          <w:sz w:val="20"/>
          <w:szCs w:val="20"/>
        </w:rPr>
        <w:t>Scheme’s</w:t>
      </w:r>
      <w:r w:rsidR="00B531AF" w:rsidRPr="00D4639B">
        <w:rPr>
          <w:rFonts w:ascii="Noto Sans" w:hAnsi="Noto Sans" w:cs="Arial"/>
          <w:sz w:val="20"/>
          <w:szCs w:val="20"/>
        </w:rPr>
        <w:t xml:space="preserve"> </w:t>
      </w:r>
      <w:r w:rsidR="00370F90">
        <w:rPr>
          <w:rFonts w:ascii="Noto Sans" w:hAnsi="Noto Sans" w:cs="Arial"/>
          <w:sz w:val="20"/>
          <w:szCs w:val="20"/>
        </w:rPr>
        <w:t xml:space="preserve">strategic </w:t>
      </w:r>
      <w:r w:rsidR="00B531AF" w:rsidRPr="00D4639B">
        <w:rPr>
          <w:rFonts w:ascii="Noto Sans" w:hAnsi="Noto Sans" w:cs="Arial"/>
          <w:sz w:val="20"/>
          <w:szCs w:val="20"/>
        </w:rPr>
        <w:t>asset allocation is split into Mat</w:t>
      </w:r>
      <w:r w:rsidR="00AA01D9">
        <w:rPr>
          <w:rFonts w:ascii="Noto Sans" w:hAnsi="Noto Sans" w:cs="Arial"/>
          <w:sz w:val="20"/>
          <w:szCs w:val="20"/>
        </w:rPr>
        <w:t>ching Assets and Growth Assets:</w:t>
      </w:r>
    </w:p>
    <w:p w14:paraId="4D0426E4" w14:textId="77777777" w:rsidR="00AA01D9" w:rsidRPr="00AA01D9" w:rsidRDefault="00AA01D9" w:rsidP="00AA01D9">
      <w:pPr>
        <w:pStyle w:val="ListParagraph"/>
        <w:rPr>
          <w:rFonts w:ascii="Noto Sans" w:hAnsi="Noto Sans" w:cs="Arial"/>
          <w:sz w:val="20"/>
          <w:szCs w:val="20"/>
        </w:rPr>
      </w:pPr>
    </w:p>
    <w:p w14:paraId="0BEBF499" w14:textId="77777777" w:rsidR="00AA01D9" w:rsidRPr="00AA01D9" w:rsidRDefault="00AA01D9" w:rsidP="00AA01D9">
      <w:pPr>
        <w:numPr>
          <w:ilvl w:val="1"/>
          <w:numId w:val="20"/>
        </w:numPr>
        <w:autoSpaceDE w:val="0"/>
        <w:autoSpaceDN w:val="0"/>
        <w:adjustRightInd w:val="0"/>
        <w:spacing w:after="0" w:line="240" w:lineRule="auto"/>
        <w:contextualSpacing/>
        <w:rPr>
          <w:rFonts w:ascii="Noto Sans" w:hAnsi="Noto Sans" w:cs="Arial"/>
          <w:sz w:val="20"/>
          <w:szCs w:val="20"/>
        </w:rPr>
      </w:pPr>
      <w:r w:rsidRPr="00AA01D9">
        <w:rPr>
          <w:rFonts w:ascii="Noto Sans" w:hAnsi="Noto Sans" w:cs="Arial"/>
          <w:b/>
          <w:sz w:val="20"/>
          <w:szCs w:val="20"/>
        </w:rPr>
        <w:t>Matching Assets</w:t>
      </w:r>
      <w:r w:rsidRPr="00AA01D9">
        <w:rPr>
          <w:rFonts w:ascii="Noto Sans" w:hAnsi="Noto Sans" w:cs="Arial"/>
          <w:sz w:val="20"/>
          <w:szCs w:val="20"/>
        </w:rPr>
        <w:t xml:space="preserve">: Comprise assets (including, but not limited to, UK government bond and derivative exposures) which are held with the aim of matching the interest rate and inflation exposures of the Scheme’s expected liabilities. </w:t>
      </w:r>
    </w:p>
    <w:p w14:paraId="761336F8" w14:textId="77777777" w:rsidR="00AA01D9" w:rsidRPr="00AA01D9" w:rsidRDefault="00AA01D9" w:rsidP="00AA01D9">
      <w:pPr>
        <w:numPr>
          <w:ilvl w:val="1"/>
          <w:numId w:val="20"/>
        </w:numPr>
        <w:autoSpaceDE w:val="0"/>
        <w:autoSpaceDN w:val="0"/>
        <w:adjustRightInd w:val="0"/>
        <w:spacing w:after="0" w:line="240" w:lineRule="auto"/>
        <w:contextualSpacing/>
        <w:rPr>
          <w:rFonts w:ascii="Noto Sans" w:hAnsi="Noto Sans" w:cs="Arial"/>
          <w:sz w:val="20"/>
          <w:szCs w:val="20"/>
        </w:rPr>
      </w:pPr>
      <w:r w:rsidRPr="00AA01D9">
        <w:rPr>
          <w:rFonts w:ascii="Noto Sans" w:hAnsi="Noto Sans" w:cs="Arial"/>
          <w:b/>
          <w:sz w:val="20"/>
          <w:szCs w:val="20"/>
        </w:rPr>
        <w:t>Growth Assets:</w:t>
      </w:r>
      <w:r w:rsidRPr="00AA01D9">
        <w:rPr>
          <w:rFonts w:ascii="Noto Sans" w:hAnsi="Noto Sans" w:cs="Arial"/>
          <w:sz w:val="20"/>
          <w:szCs w:val="20"/>
        </w:rPr>
        <w:t xml:space="preserve"> The Trustees recognise the benefits of diversification across the Scheme’s Growth Assets. Growth Assets comprise assets (including but not limited to, developed and emerging market equities, corporate bonds and alternative assets) that are held with the aim of outperforming the Scheme’s liabilities over the medium term.</w:t>
      </w:r>
    </w:p>
    <w:p w14:paraId="2E5D3F28" w14:textId="0CC62B3D" w:rsidR="0007529E" w:rsidRPr="00AA01D9" w:rsidRDefault="0007529E" w:rsidP="00AA01D9">
      <w:pPr>
        <w:rPr>
          <w:rFonts w:ascii="Noto Sans" w:hAnsi="Noto Sans" w:cs="Arial"/>
          <w:sz w:val="20"/>
          <w:szCs w:val="20"/>
        </w:rPr>
      </w:pPr>
    </w:p>
    <w:p w14:paraId="31553EF6" w14:textId="39A7F007" w:rsidR="0007529E" w:rsidRPr="00AA01D9" w:rsidRDefault="00370F90" w:rsidP="00FA5B0C">
      <w:pPr>
        <w:pStyle w:val="ListParagraph"/>
        <w:numPr>
          <w:ilvl w:val="0"/>
          <w:numId w:val="18"/>
        </w:numPr>
        <w:autoSpaceDE w:val="0"/>
        <w:autoSpaceDN w:val="0"/>
        <w:adjustRightInd w:val="0"/>
        <w:spacing w:after="0" w:line="240" w:lineRule="auto"/>
        <w:rPr>
          <w:rFonts w:ascii="Noto Sans" w:hAnsi="Noto Sans" w:cs="Arial"/>
          <w:sz w:val="20"/>
          <w:szCs w:val="20"/>
        </w:rPr>
      </w:pPr>
      <w:r>
        <w:rPr>
          <w:rFonts w:ascii="Noto Sans" w:hAnsi="Noto Sans" w:cs="Arial"/>
          <w:sz w:val="20"/>
          <w:szCs w:val="20"/>
        </w:rPr>
        <w:t xml:space="preserve">in </w:t>
      </w:r>
      <w:r w:rsidR="006158A8">
        <w:rPr>
          <w:rFonts w:ascii="Noto Sans" w:hAnsi="Noto Sans" w:cs="Arial"/>
          <w:sz w:val="20"/>
          <w:szCs w:val="20"/>
        </w:rPr>
        <w:t xml:space="preserve">advising the Trustees on </w:t>
      </w:r>
      <w:r>
        <w:rPr>
          <w:rFonts w:ascii="Noto Sans" w:hAnsi="Noto Sans" w:cs="Arial"/>
          <w:sz w:val="20"/>
          <w:szCs w:val="20"/>
        </w:rPr>
        <w:t xml:space="preserve">the </w:t>
      </w:r>
      <w:r w:rsidRPr="00AA01D9">
        <w:rPr>
          <w:rFonts w:ascii="Noto Sans" w:hAnsi="Noto Sans" w:cs="Arial"/>
          <w:sz w:val="20"/>
          <w:szCs w:val="20"/>
        </w:rPr>
        <w:t>Scheme’s</w:t>
      </w:r>
      <w:r>
        <w:rPr>
          <w:rFonts w:ascii="Noto Sans" w:hAnsi="Noto Sans" w:cs="Arial"/>
          <w:sz w:val="20"/>
          <w:szCs w:val="20"/>
        </w:rPr>
        <w:t xml:space="preserve"> strategic asset allocation, the </w:t>
      </w:r>
      <w:r w:rsidRPr="00AA01D9">
        <w:rPr>
          <w:rFonts w:ascii="Noto Sans" w:hAnsi="Noto Sans" w:cs="Arial"/>
          <w:sz w:val="20"/>
          <w:szCs w:val="20"/>
        </w:rPr>
        <w:t>Scheme’s</w:t>
      </w:r>
      <w:r>
        <w:rPr>
          <w:rFonts w:ascii="Noto Sans" w:hAnsi="Noto Sans" w:cs="Arial"/>
          <w:sz w:val="20"/>
          <w:szCs w:val="20"/>
        </w:rPr>
        <w:t xml:space="preserve"> fiduciary manager makes use of a set of assumptions about </w:t>
      </w:r>
      <w:r w:rsidR="0007529E" w:rsidRPr="00D4639B">
        <w:rPr>
          <w:rFonts w:ascii="Noto Sans" w:hAnsi="Noto Sans" w:cs="Arial"/>
          <w:sz w:val="20"/>
          <w:szCs w:val="20"/>
        </w:rPr>
        <w:t xml:space="preserve">the </w:t>
      </w:r>
      <w:r>
        <w:rPr>
          <w:rFonts w:ascii="Noto Sans" w:hAnsi="Noto Sans" w:cs="Arial"/>
          <w:sz w:val="20"/>
          <w:szCs w:val="20"/>
        </w:rPr>
        <w:t xml:space="preserve">long-term </w:t>
      </w:r>
      <w:r w:rsidR="0007529E" w:rsidRPr="00D4639B">
        <w:rPr>
          <w:rFonts w:ascii="Noto Sans" w:hAnsi="Noto Sans" w:cs="Arial"/>
          <w:sz w:val="20"/>
          <w:szCs w:val="20"/>
        </w:rPr>
        <w:t xml:space="preserve">expected return </w:t>
      </w:r>
      <w:r w:rsidR="007F1B5F" w:rsidRPr="00D4639B">
        <w:rPr>
          <w:rFonts w:ascii="Noto Sans" w:hAnsi="Noto Sans" w:cs="Arial"/>
          <w:sz w:val="20"/>
          <w:szCs w:val="20"/>
        </w:rPr>
        <w:t>from the main permitted asset classes</w:t>
      </w:r>
      <w:r>
        <w:rPr>
          <w:rFonts w:ascii="Noto Sans" w:hAnsi="Noto Sans" w:cs="Arial"/>
          <w:sz w:val="20"/>
          <w:szCs w:val="20"/>
        </w:rPr>
        <w:t xml:space="preserve">. These assumptions are developed by the fiduciary manager </w:t>
      </w:r>
      <w:r w:rsidR="00D03C12">
        <w:rPr>
          <w:rFonts w:ascii="Noto Sans" w:hAnsi="Noto Sans" w:cs="Arial"/>
          <w:sz w:val="20"/>
          <w:szCs w:val="20"/>
        </w:rPr>
        <w:t>based on</w:t>
      </w:r>
      <w:r>
        <w:rPr>
          <w:rFonts w:ascii="Noto Sans" w:hAnsi="Noto Sans" w:cs="Arial"/>
          <w:sz w:val="20"/>
          <w:szCs w:val="20"/>
        </w:rPr>
        <w:t xml:space="preserve"> input from a range of experts including the fiducia</w:t>
      </w:r>
      <w:r w:rsidR="00D03C12">
        <w:rPr>
          <w:rFonts w:ascii="Noto Sans" w:hAnsi="Noto Sans" w:cs="Arial"/>
          <w:sz w:val="20"/>
          <w:szCs w:val="20"/>
        </w:rPr>
        <w:t>r</w:t>
      </w:r>
      <w:r>
        <w:rPr>
          <w:rFonts w:ascii="Noto Sans" w:hAnsi="Noto Sans" w:cs="Arial"/>
          <w:sz w:val="20"/>
          <w:szCs w:val="20"/>
        </w:rPr>
        <w:t>y manager’s in-house economics specialists. The assumptions are updated by the fiduciary manager periodically</w:t>
      </w:r>
      <w:r w:rsidR="00C6764F">
        <w:rPr>
          <w:rFonts w:ascii="Noto Sans" w:hAnsi="Noto Sans" w:cs="Arial"/>
          <w:sz w:val="20"/>
          <w:szCs w:val="20"/>
        </w:rPr>
        <w:t>.  These can be provided upon request.</w:t>
      </w:r>
    </w:p>
    <w:p w14:paraId="26F27AE1" w14:textId="77777777" w:rsidR="001B733A" w:rsidRPr="00D4639B" w:rsidRDefault="001B733A" w:rsidP="001B733A">
      <w:pPr>
        <w:pStyle w:val="ListParagraph"/>
        <w:rPr>
          <w:rFonts w:ascii="Noto Sans" w:hAnsi="Noto Sans" w:cs="Arial"/>
          <w:sz w:val="20"/>
          <w:szCs w:val="20"/>
        </w:rPr>
      </w:pPr>
    </w:p>
    <w:p w14:paraId="75B9788E" w14:textId="699FE24D" w:rsidR="00B043B4" w:rsidRPr="00D4639B" w:rsidRDefault="00B043B4" w:rsidP="00061517">
      <w:pPr>
        <w:pStyle w:val="ListParagraph"/>
        <w:numPr>
          <w:ilvl w:val="0"/>
          <w:numId w:val="11"/>
        </w:numPr>
        <w:autoSpaceDE w:val="0"/>
        <w:autoSpaceDN w:val="0"/>
        <w:adjustRightInd w:val="0"/>
        <w:spacing w:after="0" w:line="240" w:lineRule="auto"/>
        <w:rPr>
          <w:rFonts w:ascii="Noto Sans" w:hAnsi="Noto Sans" w:cs="Arial"/>
          <w:b/>
          <w:sz w:val="20"/>
          <w:szCs w:val="20"/>
        </w:rPr>
      </w:pPr>
      <w:r w:rsidRPr="00D4639B">
        <w:rPr>
          <w:rFonts w:ascii="Noto Sans" w:hAnsi="Noto Sans" w:cs="Arial"/>
          <w:b/>
          <w:sz w:val="20"/>
          <w:szCs w:val="20"/>
        </w:rPr>
        <w:t xml:space="preserve">Risk </w:t>
      </w:r>
    </w:p>
    <w:p w14:paraId="26F44666" w14:textId="77777777" w:rsidR="00B42CC8" w:rsidRPr="00D4639B" w:rsidRDefault="00B42CC8" w:rsidP="00B9307D">
      <w:pPr>
        <w:autoSpaceDE w:val="0"/>
        <w:autoSpaceDN w:val="0"/>
        <w:adjustRightInd w:val="0"/>
        <w:spacing w:after="0" w:line="240" w:lineRule="auto"/>
        <w:rPr>
          <w:rFonts w:ascii="Noto Sans" w:hAnsi="Noto Sans" w:cs="Arial"/>
          <w:sz w:val="20"/>
          <w:szCs w:val="20"/>
        </w:rPr>
      </w:pPr>
    </w:p>
    <w:p w14:paraId="6D2BB33F" w14:textId="5289C1CA" w:rsidR="00AA01D9" w:rsidRDefault="00AA01D9" w:rsidP="00AA01D9">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The</w:t>
      </w:r>
      <w:r>
        <w:rPr>
          <w:rFonts w:ascii="Noto Sans" w:hAnsi="Noto Sans" w:cs="Arial"/>
          <w:sz w:val="20"/>
          <w:szCs w:val="20"/>
        </w:rPr>
        <w:t xml:space="preserve"> </w:t>
      </w:r>
      <w:r w:rsidR="00F006AA">
        <w:rPr>
          <w:rFonts w:ascii="Noto Sans" w:hAnsi="Noto Sans" w:cs="Arial"/>
          <w:sz w:val="20"/>
          <w:szCs w:val="20"/>
        </w:rPr>
        <w:t xml:space="preserve">Trustees measure and monitor the </w:t>
      </w:r>
      <w:r>
        <w:rPr>
          <w:rFonts w:ascii="Noto Sans" w:hAnsi="Noto Sans" w:cs="Arial"/>
          <w:sz w:val="20"/>
          <w:szCs w:val="20"/>
        </w:rPr>
        <w:t>ongoing appropriateness of the</w:t>
      </w:r>
      <w:r w:rsidRPr="00D4639B">
        <w:rPr>
          <w:rFonts w:ascii="Noto Sans" w:hAnsi="Noto Sans" w:cs="Arial"/>
          <w:sz w:val="20"/>
          <w:szCs w:val="20"/>
        </w:rPr>
        <w:t xml:space="preserve"> investment objectives and risks through a combination of</w:t>
      </w:r>
      <w:r>
        <w:rPr>
          <w:rFonts w:ascii="Noto Sans" w:hAnsi="Noto Sans" w:cs="Arial"/>
          <w:sz w:val="20"/>
          <w:szCs w:val="20"/>
        </w:rPr>
        <w:t>:</w:t>
      </w:r>
    </w:p>
    <w:p w14:paraId="40886AAD" w14:textId="77777777" w:rsidR="00AA01D9" w:rsidRDefault="00AA01D9" w:rsidP="00AA01D9">
      <w:pPr>
        <w:autoSpaceDE w:val="0"/>
        <w:autoSpaceDN w:val="0"/>
        <w:adjustRightInd w:val="0"/>
        <w:spacing w:after="0" w:line="240" w:lineRule="auto"/>
        <w:rPr>
          <w:rFonts w:ascii="Noto Sans" w:hAnsi="Noto Sans" w:cs="Arial"/>
          <w:sz w:val="20"/>
          <w:szCs w:val="20"/>
        </w:rPr>
      </w:pPr>
    </w:p>
    <w:p w14:paraId="4C71532D" w14:textId="6731B740" w:rsidR="00AA01D9" w:rsidRDefault="00AA01D9" w:rsidP="00AA01D9">
      <w:pPr>
        <w:pStyle w:val="ListParagraph"/>
        <w:numPr>
          <w:ilvl w:val="0"/>
          <w:numId w:val="21"/>
        </w:numPr>
        <w:autoSpaceDE w:val="0"/>
        <w:autoSpaceDN w:val="0"/>
        <w:adjustRightInd w:val="0"/>
        <w:spacing w:after="0" w:line="240" w:lineRule="auto"/>
        <w:rPr>
          <w:rFonts w:ascii="Noto Sans" w:hAnsi="Noto Sans" w:cs="Arial"/>
          <w:sz w:val="20"/>
          <w:szCs w:val="20"/>
        </w:rPr>
      </w:pPr>
      <w:r>
        <w:rPr>
          <w:rFonts w:ascii="Noto Sans" w:hAnsi="Noto Sans" w:cs="Arial"/>
          <w:sz w:val="20"/>
          <w:szCs w:val="20"/>
        </w:rPr>
        <w:t>Q</w:t>
      </w:r>
      <w:r w:rsidRPr="00610145">
        <w:rPr>
          <w:rFonts w:ascii="Noto Sans" w:hAnsi="Noto Sans" w:cs="Arial"/>
          <w:sz w:val="20"/>
          <w:szCs w:val="20"/>
        </w:rPr>
        <w:t xml:space="preserve">uarterly investment monitoring reports </w:t>
      </w:r>
    </w:p>
    <w:p w14:paraId="79500DCE" w14:textId="45C4DA47" w:rsidR="00F006AA" w:rsidRDefault="00F006AA" w:rsidP="00F006AA">
      <w:pPr>
        <w:pStyle w:val="ListParagraph"/>
        <w:numPr>
          <w:ilvl w:val="0"/>
          <w:numId w:val="21"/>
        </w:numPr>
        <w:autoSpaceDE w:val="0"/>
        <w:autoSpaceDN w:val="0"/>
        <w:adjustRightInd w:val="0"/>
        <w:spacing w:after="0" w:line="240" w:lineRule="auto"/>
        <w:rPr>
          <w:rFonts w:ascii="Noto Sans" w:hAnsi="Noto Sans" w:cs="Arial"/>
          <w:sz w:val="20"/>
          <w:szCs w:val="20"/>
        </w:rPr>
      </w:pPr>
      <w:r w:rsidRPr="00F006AA">
        <w:rPr>
          <w:rFonts w:ascii="Noto Sans" w:hAnsi="Noto Sans" w:cs="Arial"/>
          <w:sz w:val="20"/>
          <w:szCs w:val="20"/>
        </w:rPr>
        <w:t>Annual reporting on turnover and transaction costs</w:t>
      </w:r>
    </w:p>
    <w:p w14:paraId="3290C781" w14:textId="77777777" w:rsidR="00AA01D9" w:rsidRDefault="00AA01D9" w:rsidP="00AA01D9">
      <w:pPr>
        <w:pStyle w:val="ListParagraph"/>
        <w:numPr>
          <w:ilvl w:val="0"/>
          <w:numId w:val="21"/>
        </w:numPr>
        <w:autoSpaceDE w:val="0"/>
        <w:autoSpaceDN w:val="0"/>
        <w:adjustRightInd w:val="0"/>
        <w:spacing w:after="0" w:line="240" w:lineRule="auto"/>
        <w:rPr>
          <w:rFonts w:ascii="Noto Sans" w:hAnsi="Noto Sans" w:cs="Arial"/>
          <w:sz w:val="20"/>
          <w:szCs w:val="20"/>
        </w:rPr>
      </w:pPr>
      <w:r>
        <w:rPr>
          <w:rFonts w:ascii="Noto Sans" w:hAnsi="Noto Sans" w:cs="Arial"/>
          <w:sz w:val="20"/>
          <w:szCs w:val="20"/>
        </w:rPr>
        <w:t>E</w:t>
      </w:r>
      <w:r w:rsidRPr="00610145">
        <w:rPr>
          <w:rFonts w:ascii="Noto Sans" w:hAnsi="Noto Sans" w:cs="Arial"/>
          <w:sz w:val="20"/>
          <w:szCs w:val="20"/>
        </w:rPr>
        <w:t>stimates of the progression of the funding level and the impact of market moves on the funding level of the Scheme</w:t>
      </w:r>
    </w:p>
    <w:p w14:paraId="774277C0" w14:textId="77777777" w:rsidR="00AA01D9" w:rsidRDefault="00AA01D9" w:rsidP="00AA01D9">
      <w:pPr>
        <w:pStyle w:val="ListParagraph"/>
        <w:numPr>
          <w:ilvl w:val="0"/>
          <w:numId w:val="21"/>
        </w:numPr>
        <w:autoSpaceDE w:val="0"/>
        <w:autoSpaceDN w:val="0"/>
        <w:adjustRightInd w:val="0"/>
        <w:spacing w:after="0" w:line="240" w:lineRule="auto"/>
        <w:rPr>
          <w:rFonts w:ascii="Noto Sans" w:hAnsi="Noto Sans" w:cs="Arial"/>
          <w:sz w:val="20"/>
          <w:szCs w:val="20"/>
        </w:rPr>
      </w:pPr>
      <w:r>
        <w:rPr>
          <w:rFonts w:ascii="Noto Sans" w:hAnsi="Noto Sans" w:cs="Arial"/>
          <w:sz w:val="20"/>
          <w:szCs w:val="20"/>
        </w:rPr>
        <w:t>T</w:t>
      </w:r>
      <w:r w:rsidRPr="00610145">
        <w:rPr>
          <w:rFonts w:ascii="Noto Sans" w:hAnsi="Noto Sans" w:cs="Arial"/>
          <w:sz w:val="20"/>
          <w:szCs w:val="20"/>
        </w:rPr>
        <w:t xml:space="preserve">riannual actuarial valuations </w:t>
      </w:r>
    </w:p>
    <w:p w14:paraId="4BF9036D" w14:textId="77777777" w:rsidR="00AA01D9" w:rsidRDefault="00AA01D9" w:rsidP="00AA01D9">
      <w:pPr>
        <w:pStyle w:val="ListParagraph"/>
        <w:numPr>
          <w:ilvl w:val="0"/>
          <w:numId w:val="21"/>
        </w:numPr>
        <w:autoSpaceDE w:val="0"/>
        <w:autoSpaceDN w:val="0"/>
        <w:adjustRightInd w:val="0"/>
        <w:spacing w:after="0" w:line="240" w:lineRule="auto"/>
        <w:rPr>
          <w:rFonts w:ascii="Noto Sans" w:hAnsi="Noto Sans" w:cs="Arial"/>
          <w:sz w:val="20"/>
          <w:szCs w:val="20"/>
        </w:rPr>
      </w:pPr>
      <w:r>
        <w:rPr>
          <w:rFonts w:ascii="Noto Sans" w:hAnsi="Noto Sans" w:cs="Arial"/>
          <w:sz w:val="20"/>
          <w:szCs w:val="20"/>
        </w:rPr>
        <w:t>S</w:t>
      </w:r>
      <w:r w:rsidRPr="00610145">
        <w:rPr>
          <w:rFonts w:ascii="Noto Sans" w:hAnsi="Noto Sans" w:cs="Arial"/>
          <w:sz w:val="20"/>
          <w:szCs w:val="20"/>
        </w:rPr>
        <w:t xml:space="preserve">trategy reviews undertaken </w:t>
      </w:r>
      <w:r w:rsidRPr="00E66D3C">
        <w:rPr>
          <w:rFonts w:ascii="Noto Sans" w:hAnsi="Noto Sans" w:cs="Arial"/>
          <w:sz w:val="20"/>
          <w:szCs w:val="20"/>
        </w:rPr>
        <w:t>following</w:t>
      </w:r>
      <w:r w:rsidRPr="00610145">
        <w:rPr>
          <w:rFonts w:ascii="Noto Sans" w:hAnsi="Noto Sans" w:cs="Arial"/>
          <w:sz w:val="20"/>
          <w:szCs w:val="20"/>
        </w:rPr>
        <w:t xml:space="preserve"> completion of the actua</w:t>
      </w:r>
      <w:r>
        <w:rPr>
          <w:rFonts w:ascii="Noto Sans" w:hAnsi="Noto Sans" w:cs="Arial"/>
          <w:sz w:val="20"/>
          <w:szCs w:val="20"/>
        </w:rPr>
        <w:t>rial valuation</w:t>
      </w:r>
    </w:p>
    <w:p w14:paraId="2B053E0C" w14:textId="77777777" w:rsidR="00AA01D9" w:rsidRPr="00610145" w:rsidRDefault="00AA01D9" w:rsidP="00AA01D9">
      <w:pPr>
        <w:pStyle w:val="ListParagraph"/>
        <w:numPr>
          <w:ilvl w:val="0"/>
          <w:numId w:val="21"/>
        </w:numPr>
        <w:autoSpaceDE w:val="0"/>
        <w:autoSpaceDN w:val="0"/>
        <w:adjustRightInd w:val="0"/>
        <w:spacing w:after="0" w:line="240" w:lineRule="auto"/>
        <w:rPr>
          <w:rFonts w:ascii="Noto Sans" w:hAnsi="Noto Sans" w:cs="Arial"/>
          <w:sz w:val="20"/>
          <w:szCs w:val="20"/>
        </w:rPr>
      </w:pPr>
      <w:r>
        <w:rPr>
          <w:rFonts w:ascii="Noto Sans" w:hAnsi="Noto Sans" w:cs="Arial"/>
          <w:sz w:val="20"/>
          <w:szCs w:val="20"/>
        </w:rPr>
        <w:t>A</w:t>
      </w:r>
      <w:r w:rsidRPr="00610145">
        <w:rPr>
          <w:rFonts w:ascii="Noto Sans" w:hAnsi="Noto Sans" w:cs="Arial"/>
          <w:sz w:val="20"/>
          <w:szCs w:val="20"/>
        </w:rPr>
        <w:t>d-hoc investigations</w:t>
      </w:r>
      <w:r>
        <w:rPr>
          <w:rFonts w:ascii="Noto Sans" w:hAnsi="Noto Sans" w:cs="Arial"/>
          <w:sz w:val="20"/>
          <w:szCs w:val="20"/>
        </w:rPr>
        <w:t xml:space="preserve"> in the event of significant market events or changes to the expected liabilities</w:t>
      </w:r>
      <w:r w:rsidRPr="00610145">
        <w:rPr>
          <w:rFonts w:ascii="Noto Sans" w:hAnsi="Noto Sans" w:cs="Arial"/>
          <w:sz w:val="20"/>
          <w:szCs w:val="20"/>
        </w:rPr>
        <w:t xml:space="preserve">. </w:t>
      </w:r>
    </w:p>
    <w:p w14:paraId="1FA5311F" w14:textId="77777777" w:rsidR="00AA01D9" w:rsidRDefault="00AA01D9" w:rsidP="00B9307D">
      <w:pPr>
        <w:autoSpaceDE w:val="0"/>
        <w:autoSpaceDN w:val="0"/>
        <w:adjustRightInd w:val="0"/>
        <w:spacing w:after="0" w:line="240" w:lineRule="auto"/>
        <w:rPr>
          <w:rFonts w:ascii="Noto Sans" w:hAnsi="Noto Sans" w:cs="Arial"/>
          <w:sz w:val="20"/>
          <w:szCs w:val="20"/>
        </w:rPr>
      </w:pPr>
    </w:p>
    <w:p w14:paraId="6752C543" w14:textId="5077D14C" w:rsidR="00CF793D" w:rsidRPr="00D4639B" w:rsidRDefault="00CF793D" w:rsidP="00B9307D">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Pr="00AA01D9">
        <w:rPr>
          <w:rFonts w:ascii="Noto Sans" w:hAnsi="Noto Sans" w:cs="Arial"/>
          <w:sz w:val="20"/>
          <w:szCs w:val="20"/>
        </w:rPr>
        <w:t>Trustees</w:t>
      </w:r>
      <w:r w:rsidRPr="00D4639B">
        <w:rPr>
          <w:rFonts w:ascii="Noto Sans" w:hAnsi="Noto Sans" w:cs="Arial"/>
          <w:sz w:val="20"/>
          <w:szCs w:val="20"/>
        </w:rPr>
        <w:t xml:space="preserve"> recognise a number of risks involved in the investment of the assets</w:t>
      </w:r>
    </w:p>
    <w:p w14:paraId="0B53A1CB" w14:textId="77777777" w:rsidR="00E74717" w:rsidRPr="00D4639B" w:rsidRDefault="00CF793D" w:rsidP="00B9307D">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including</w:t>
      </w:r>
      <w:r w:rsidR="00B9307D" w:rsidRPr="00D4639B">
        <w:rPr>
          <w:rFonts w:ascii="Noto Sans" w:hAnsi="Noto Sans" w:cs="Arial"/>
          <w:sz w:val="20"/>
          <w:szCs w:val="20"/>
        </w:rPr>
        <w:t>:</w:t>
      </w:r>
    </w:p>
    <w:p w14:paraId="241C0EA5" w14:textId="77777777" w:rsidR="00E74717" w:rsidRPr="00D4639B" w:rsidRDefault="00E74717" w:rsidP="00B9307D">
      <w:pPr>
        <w:autoSpaceDE w:val="0"/>
        <w:autoSpaceDN w:val="0"/>
        <w:adjustRightInd w:val="0"/>
        <w:spacing w:after="0" w:line="240" w:lineRule="auto"/>
        <w:rPr>
          <w:rFonts w:ascii="Noto Sans" w:hAnsi="Noto Sans" w:cs="Arial"/>
          <w:sz w:val="20"/>
          <w:szCs w:val="20"/>
        </w:rPr>
      </w:pPr>
    </w:p>
    <w:p w14:paraId="636A9ADE" w14:textId="39865F64" w:rsidR="00E74717" w:rsidRPr="00D4639B" w:rsidRDefault="00E74717" w:rsidP="00FA5B0C">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AA01D9">
        <w:rPr>
          <w:rFonts w:ascii="Noto Sans" w:hAnsi="Noto Sans" w:cs="Arial"/>
          <w:b/>
          <w:sz w:val="20"/>
          <w:szCs w:val="20"/>
        </w:rPr>
        <w:t>Interest rate and inflation risk:</w:t>
      </w:r>
      <w:r w:rsidRPr="00D4639B">
        <w:rPr>
          <w:rFonts w:ascii="Noto Sans" w:hAnsi="Noto Sans" w:cs="Arial"/>
          <w:sz w:val="20"/>
          <w:szCs w:val="20"/>
        </w:rPr>
        <w:t xml:space="preserve"> the risk that the fair value or future cash flows of a financial asset will fluctuate because of changes in market interest rates and expected future inflation rates. The </w:t>
      </w:r>
      <w:r w:rsidRPr="00AA01D9">
        <w:rPr>
          <w:rFonts w:ascii="Noto Sans" w:hAnsi="Noto Sans" w:cs="Arial"/>
          <w:sz w:val="20"/>
          <w:szCs w:val="20"/>
        </w:rPr>
        <w:t>Trustee</w:t>
      </w:r>
      <w:r w:rsidR="00B42CC8" w:rsidRPr="00AA01D9">
        <w:rPr>
          <w:rFonts w:ascii="Noto Sans" w:hAnsi="Noto Sans" w:cs="Arial"/>
          <w:sz w:val="20"/>
          <w:szCs w:val="20"/>
        </w:rPr>
        <w:t>s</w:t>
      </w:r>
      <w:r w:rsidRPr="00D4639B">
        <w:rPr>
          <w:rFonts w:ascii="Noto Sans" w:hAnsi="Noto Sans" w:cs="Arial"/>
          <w:sz w:val="20"/>
          <w:szCs w:val="20"/>
        </w:rPr>
        <w:t xml:space="preserve"> receive information about the estimated level of interest rate and inflation risk in the strategy on a regular basis. Interest rate and inflation risks are managed using Liability Driven Investment techniques within the Matching Assets.</w:t>
      </w:r>
    </w:p>
    <w:p w14:paraId="0BC42911" w14:textId="77777777" w:rsidR="00E74717" w:rsidRPr="00D4639B" w:rsidRDefault="00E74717" w:rsidP="00E74717">
      <w:pPr>
        <w:pStyle w:val="ListParagraph"/>
        <w:autoSpaceDE w:val="0"/>
        <w:autoSpaceDN w:val="0"/>
        <w:adjustRightInd w:val="0"/>
        <w:spacing w:before="120" w:after="120" w:line="240" w:lineRule="auto"/>
        <w:ind w:left="360"/>
        <w:rPr>
          <w:rFonts w:ascii="Noto Sans" w:hAnsi="Noto Sans" w:cs="Arial"/>
          <w:sz w:val="20"/>
          <w:szCs w:val="20"/>
        </w:rPr>
      </w:pPr>
    </w:p>
    <w:p w14:paraId="0ED338B6" w14:textId="54DA2DD3" w:rsidR="00B42CC8" w:rsidRPr="00D4639B" w:rsidRDefault="00E74717" w:rsidP="00FA5B0C">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C714EB">
        <w:rPr>
          <w:rFonts w:ascii="Noto Sans" w:hAnsi="Noto Sans" w:cs="Arial"/>
          <w:b/>
          <w:sz w:val="20"/>
          <w:szCs w:val="20"/>
        </w:rPr>
        <w:t>Currency risk:</w:t>
      </w:r>
      <w:r w:rsidRPr="00D4639B">
        <w:rPr>
          <w:rFonts w:ascii="Noto Sans" w:hAnsi="Noto Sans" w:cs="Arial"/>
          <w:sz w:val="20"/>
          <w:szCs w:val="20"/>
        </w:rPr>
        <w:t xml:space="preserve"> the risk that the fair value or future cash flows of a financial asset will fluctuate because of changes in foreign exchange rates. This risk is measured and actively managed on an ongoing basis by the </w:t>
      </w:r>
      <w:r w:rsidR="001B733A" w:rsidRPr="00C714EB">
        <w:rPr>
          <w:rFonts w:ascii="Noto Sans" w:hAnsi="Noto Sans" w:cs="Arial"/>
          <w:sz w:val="20"/>
          <w:szCs w:val="20"/>
        </w:rPr>
        <w:t>Scheme</w:t>
      </w:r>
      <w:r w:rsidRPr="00C714EB">
        <w:rPr>
          <w:rFonts w:ascii="Noto Sans" w:hAnsi="Noto Sans" w:cs="Arial"/>
          <w:sz w:val="20"/>
          <w:szCs w:val="20"/>
        </w:rPr>
        <w:t>’s</w:t>
      </w:r>
      <w:r w:rsidRPr="00D4639B">
        <w:rPr>
          <w:rFonts w:ascii="Noto Sans" w:hAnsi="Noto Sans" w:cs="Arial"/>
          <w:sz w:val="20"/>
          <w:szCs w:val="20"/>
        </w:rPr>
        <w:t xml:space="preserve"> investment managers. The majority of the overseas currency exposure in the portfolio is hedged back to Sterling, </w:t>
      </w:r>
      <w:r w:rsidRPr="00D4639B">
        <w:rPr>
          <w:rFonts w:ascii="Noto Sans" w:hAnsi="Noto Sans" w:cs="Arial"/>
          <w:sz w:val="20"/>
          <w:szCs w:val="20"/>
        </w:rPr>
        <w:lastRenderedPageBreak/>
        <w:t xml:space="preserve">unless there is expected to be a risk or return benefit to the </w:t>
      </w:r>
      <w:r w:rsidR="001B733A" w:rsidRPr="00C714EB">
        <w:rPr>
          <w:rFonts w:ascii="Noto Sans" w:hAnsi="Noto Sans" w:cs="Arial"/>
          <w:sz w:val="20"/>
          <w:szCs w:val="20"/>
        </w:rPr>
        <w:t>Scheme</w:t>
      </w:r>
      <w:r w:rsidRPr="00D4639B">
        <w:rPr>
          <w:rFonts w:ascii="Noto Sans" w:hAnsi="Noto Sans" w:cs="Arial"/>
          <w:sz w:val="20"/>
          <w:szCs w:val="20"/>
        </w:rPr>
        <w:t xml:space="preserve"> from leaving exposures to one or more overseas currencies unhedged. </w:t>
      </w:r>
    </w:p>
    <w:p w14:paraId="58335D95" w14:textId="77777777" w:rsidR="00B42CC8" w:rsidRPr="00D4639B" w:rsidRDefault="00B42CC8" w:rsidP="00B42CC8">
      <w:pPr>
        <w:pStyle w:val="ListParagraph"/>
        <w:rPr>
          <w:rFonts w:ascii="Noto Sans" w:hAnsi="Noto Sans" w:cs="Arial"/>
          <w:sz w:val="20"/>
          <w:szCs w:val="20"/>
        </w:rPr>
      </w:pPr>
    </w:p>
    <w:p w14:paraId="6AB0F89F" w14:textId="5F1A3D0A" w:rsidR="00E74717" w:rsidRPr="00D4639B" w:rsidRDefault="00E74717" w:rsidP="00FA5B0C">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C714EB">
        <w:rPr>
          <w:rFonts w:ascii="Noto Sans" w:hAnsi="Noto Sans" w:cs="Arial"/>
          <w:b/>
          <w:sz w:val="20"/>
          <w:szCs w:val="20"/>
        </w:rPr>
        <w:t>Credit risk</w:t>
      </w:r>
      <w:r w:rsidRPr="00D4639B">
        <w:rPr>
          <w:rFonts w:ascii="Noto Sans" w:hAnsi="Noto Sans" w:cs="Arial"/>
          <w:b/>
          <w:sz w:val="20"/>
          <w:szCs w:val="20"/>
        </w:rPr>
        <w:t>:</w:t>
      </w:r>
      <w:r w:rsidRPr="00D4639B">
        <w:rPr>
          <w:rFonts w:ascii="Noto Sans" w:hAnsi="Noto Sans" w:cs="Arial"/>
          <w:sz w:val="20"/>
          <w:szCs w:val="20"/>
        </w:rPr>
        <w:t xml:space="preserve"> the risk that one party to a financial instrument will cause a financial loss for the other party by failing to discharge an obligation. This risk is measured and actively managed</w:t>
      </w:r>
      <w:r w:rsidR="008A782F" w:rsidRPr="00D4639B">
        <w:rPr>
          <w:rFonts w:ascii="Noto Sans" w:hAnsi="Noto Sans" w:cs="Arial"/>
          <w:sz w:val="20"/>
          <w:szCs w:val="20"/>
        </w:rPr>
        <w:t xml:space="preserve"> on an ongoing basis by the </w:t>
      </w:r>
      <w:r w:rsidR="008A782F" w:rsidRPr="00C714EB">
        <w:rPr>
          <w:rFonts w:ascii="Noto Sans" w:hAnsi="Noto Sans" w:cs="Arial"/>
          <w:sz w:val="20"/>
          <w:szCs w:val="20"/>
        </w:rPr>
        <w:t>Scheme</w:t>
      </w:r>
      <w:r w:rsidRPr="00C714EB">
        <w:rPr>
          <w:rFonts w:ascii="Noto Sans" w:hAnsi="Noto Sans" w:cs="Arial"/>
          <w:sz w:val="20"/>
          <w:szCs w:val="20"/>
        </w:rPr>
        <w:t>’s</w:t>
      </w:r>
      <w:r w:rsidRPr="00D4639B">
        <w:rPr>
          <w:rFonts w:ascii="Noto Sans" w:hAnsi="Noto Sans" w:cs="Arial"/>
          <w:sz w:val="20"/>
          <w:szCs w:val="20"/>
        </w:rPr>
        <w:t xml:space="preserve"> fiduciary manager. The fiduciary manager seeks to achieve a diversified exposure to a range of growth asset risks including credit risk so that no single risk in the portfolio dominates. </w:t>
      </w:r>
    </w:p>
    <w:p w14:paraId="223EE0A7" w14:textId="77777777" w:rsidR="00E74717" w:rsidRPr="00D4639B" w:rsidRDefault="00E74717" w:rsidP="00E74717">
      <w:pPr>
        <w:pStyle w:val="ListParagraph"/>
        <w:autoSpaceDE w:val="0"/>
        <w:autoSpaceDN w:val="0"/>
        <w:adjustRightInd w:val="0"/>
        <w:spacing w:before="120" w:after="120" w:line="240" w:lineRule="auto"/>
        <w:ind w:left="360"/>
        <w:rPr>
          <w:rFonts w:ascii="Noto Sans" w:hAnsi="Noto Sans" w:cs="Arial"/>
          <w:sz w:val="20"/>
          <w:szCs w:val="20"/>
        </w:rPr>
      </w:pPr>
    </w:p>
    <w:p w14:paraId="613D27EE" w14:textId="7BE6BA03" w:rsidR="00E74717" w:rsidRPr="00D4639B" w:rsidRDefault="00E74717" w:rsidP="00FA5B0C">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C714EB">
        <w:rPr>
          <w:rFonts w:ascii="Noto Sans" w:hAnsi="Noto Sans" w:cs="Arial"/>
          <w:b/>
          <w:sz w:val="20"/>
          <w:szCs w:val="20"/>
        </w:rPr>
        <w:t>Other price risk:</w:t>
      </w:r>
      <w:r w:rsidRPr="00D4639B">
        <w:rPr>
          <w:rFonts w:ascii="Noto Sans" w:hAnsi="Noto Sans" w:cs="Arial"/>
          <w:sz w:val="20"/>
          <w:szCs w:val="20"/>
        </w:rPr>
        <w:t xml:space="preserve"> the risk that the fair value or future cash flows of a financial asset will fluctuate because of changes in market prices (other than those arising from interest rate risk or currency risk). These are measured and managed on an ongoing basis by the </w:t>
      </w:r>
      <w:r w:rsidR="00A90C20" w:rsidRPr="00C714EB">
        <w:rPr>
          <w:rFonts w:ascii="Noto Sans" w:hAnsi="Noto Sans" w:cs="Arial"/>
          <w:sz w:val="20"/>
          <w:szCs w:val="20"/>
        </w:rPr>
        <w:t>Scheme</w:t>
      </w:r>
      <w:r w:rsidRPr="00C714EB">
        <w:rPr>
          <w:rFonts w:ascii="Noto Sans" w:hAnsi="Noto Sans" w:cs="Arial"/>
          <w:sz w:val="20"/>
          <w:szCs w:val="20"/>
        </w:rPr>
        <w:t>’s</w:t>
      </w:r>
      <w:r w:rsidRPr="00D4639B">
        <w:rPr>
          <w:rFonts w:ascii="Noto Sans" w:hAnsi="Noto Sans" w:cs="Arial"/>
          <w:sz w:val="20"/>
          <w:szCs w:val="20"/>
        </w:rPr>
        <w:t xml:space="preserve"> fiduciary manager. The </w:t>
      </w:r>
      <w:r w:rsidR="009D044B" w:rsidRPr="00C714EB">
        <w:rPr>
          <w:rFonts w:ascii="Noto Sans" w:hAnsi="Noto Sans" w:cs="Arial"/>
          <w:sz w:val="20"/>
          <w:szCs w:val="20"/>
        </w:rPr>
        <w:t>Scheme’s</w:t>
      </w:r>
      <w:r w:rsidRPr="00D4639B">
        <w:rPr>
          <w:rFonts w:ascii="Noto Sans" w:hAnsi="Noto Sans" w:cs="Arial"/>
          <w:sz w:val="20"/>
          <w:szCs w:val="20"/>
        </w:rPr>
        <w:t xml:space="preserve"> fiduciary manager seeks to achieve a diversified exposure to a range of growth asset risks so that no single risk in the portfolio dominates. </w:t>
      </w:r>
    </w:p>
    <w:p w14:paraId="2B766CCE" w14:textId="77777777" w:rsidR="00E74717" w:rsidRPr="00D4639B" w:rsidRDefault="00E74717" w:rsidP="00E74717">
      <w:pPr>
        <w:pStyle w:val="ListParagraph"/>
        <w:rPr>
          <w:rFonts w:ascii="Noto Sans" w:hAnsi="Noto Sans" w:cs="Arial"/>
          <w:sz w:val="20"/>
          <w:szCs w:val="20"/>
        </w:rPr>
      </w:pPr>
    </w:p>
    <w:p w14:paraId="7E468B8F" w14:textId="10C0A5FA" w:rsidR="00E74717" w:rsidRPr="00D4639B" w:rsidRDefault="00E74717" w:rsidP="00FA5B0C">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C714EB">
        <w:rPr>
          <w:rFonts w:ascii="Noto Sans" w:hAnsi="Noto Sans" w:cs="Arial"/>
          <w:b/>
          <w:sz w:val="20"/>
          <w:szCs w:val="20"/>
        </w:rPr>
        <w:t>Liquidity risk:</w:t>
      </w:r>
      <w:r w:rsidRPr="00D4639B">
        <w:rPr>
          <w:rFonts w:ascii="Noto Sans" w:hAnsi="Noto Sans" w:cs="Arial"/>
          <w:sz w:val="20"/>
          <w:szCs w:val="20"/>
        </w:rPr>
        <w:t xml:space="preserve"> the risk that</w:t>
      </w:r>
      <w:r w:rsidR="001B733A" w:rsidRPr="00D4639B">
        <w:rPr>
          <w:rFonts w:ascii="Noto Sans" w:hAnsi="Noto Sans" w:cs="Arial"/>
          <w:sz w:val="20"/>
          <w:szCs w:val="20"/>
        </w:rPr>
        <w:t xml:space="preserve"> the </w:t>
      </w:r>
      <w:r w:rsidR="001B733A" w:rsidRPr="00C714EB">
        <w:rPr>
          <w:rFonts w:ascii="Noto Sans" w:hAnsi="Noto Sans" w:cs="Arial"/>
          <w:sz w:val="20"/>
          <w:szCs w:val="20"/>
        </w:rPr>
        <w:t>Scheme</w:t>
      </w:r>
      <w:r w:rsidR="001B733A" w:rsidRPr="00D4639B">
        <w:rPr>
          <w:rFonts w:ascii="Noto Sans" w:hAnsi="Noto Sans" w:cs="Arial"/>
          <w:sz w:val="20"/>
          <w:szCs w:val="20"/>
        </w:rPr>
        <w:t xml:space="preserve"> is unable to meet benefit payments as they fall due.  This is managed by the </w:t>
      </w:r>
      <w:r w:rsidR="00A90C20" w:rsidRPr="00D4639B">
        <w:rPr>
          <w:rFonts w:ascii="Noto Sans" w:hAnsi="Noto Sans" w:cs="Arial"/>
          <w:sz w:val="20"/>
          <w:szCs w:val="20"/>
        </w:rPr>
        <w:t>f</w:t>
      </w:r>
      <w:r w:rsidR="001B733A" w:rsidRPr="00D4639B">
        <w:rPr>
          <w:rFonts w:ascii="Noto Sans" w:hAnsi="Noto Sans" w:cs="Arial"/>
          <w:sz w:val="20"/>
          <w:szCs w:val="20"/>
        </w:rPr>
        <w:t>iduci</w:t>
      </w:r>
      <w:r w:rsidR="00A90C20" w:rsidRPr="00D4639B">
        <w:rPr>
          <w:rFonts w:ascii="Noto Sans" w:hAnsi="Noto Sans" w:cs="Arial"/>
          <w:sz w:val="20"/>
          <w:szCs w:val="20"/>
        </w:rPr>
        <w:t>ary m</w:t>
      </w:r>
      <w:r w:rsidR="001B733A" w:rsidRPr="00D4639B">
        <w:rPr>
          <w:rFonts w:ascii="Noto Sans" w:hAnsi="Noto Sans" w:cs="Arial"/>
          <w:sz w:val="20"/>
          <w:szCs w:val="20"/>
        </w:rPr>
        <w:t>anager</w:t>
      </w:r>
      <w:r w:rsidR="00A90C20" w:rsidRPr="00D4639B">
        <w:rPr>
          <w:rFonts w:ascii="Noto Sans" w:hAnsi="Noto Sans" w:cs="Arial"/>
          <w:sz w:val="20"/>
          <w:szCs w:val="20"/>
        </w:rPr>
        <w:t xml:space="preserve"> by holding an appropriate level of readily realisable investments.  </w:t>
      </w:r>
    </w:p>
    <w:p w14:paraId="2D4839A9" w14:textId="19F27E79" w:rsidR="00B9307D" w:rsidRPr="00D4639B" w:rsidRDefault="00CF793D" w:rsidP="00B9307D">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 </w:t>
      </w:r>
    </w:p>
    <w:p w14:paraId="46D8E575" w14:textId="77777777" w:rsidR="00B043B4" w:rsidRPr="00D4639B" w:rsidRDefault="001A43A8" w:rsidP="001A43A8">
      <w:pPr>
        <w:pStyle w:val="ListParagraph"/>
        <w:numPr>
          <w:ilvl w:val="0"/>
          <w:numId w:val="11"/>
        </w:numPr>
        <w:autoSpaceDE w:val="0"/>
        <w:autoSpaceDN w:val="0"/>
        <w:adjustRightInd w:val="0"/>
        <w:spacing w:after="0" w:line="240" w:lineRule="auto"/>
        <w:rPr>
          <w:rFonts w:ascii="Noto Sans" w:hAnsi="Noto Sans" w:cs="Arial"/>
          <w:b/>
          <w:color w:val="000000"/>
          <w:sz w:val="20"/>
          <w:szCs w:val="20"/>
        </w:rPr>
      </w:pPr>
      <w:r w:rsidRPr="00D4639B">
        <w:rPr>
          <w:rFonts w:ascii="Noto Sans" w:hAnsi="Noto Sans" w:cs="Arial"/>
          <w:b/>
          <w:color w:val="000000"/>
          <w:sz w:val="20"/>
          <w:szCs w:val="20"/>
        </w:rPr>
        <w:t>Realisation of investments</w:t>
      </w:r>
    </w:p>
    <w:p w14:paraId="09E783E9" w14:textId="77777777" w:rsidR="001A43A8" w:rsidRPr="00D4639B" w:rsidRDefault="001A43A8" w:rsidP="00B043B4">
      <w:pPr>
        <w:autoSpaceDE w:val="0"/>
        <w:autoSpaceDN w:val="0"/>
        <w:adjustRightInd w:val="0"/>
        <w:spacing w:after="0" w:line="240" w:lineRule="auto"/>
        <w:rPr>
          <w:rStyle w:val="A6"/>
          <w:rFonts w:ascii="Noto Sans" w:hAnsi="Noto Sans" w:cs="Arial"/>
        </w:rPr>
      </w:pPr>
    </w:p>
    <w:p w14:paraId="11BC4349" w14:textId="77777777" w:rsidR="00393996" w:rsidRPr="00D4639B" w:rsidRDefault="00776ED0" w:rsidP="001A43A8">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majority of the </w:t>
      </w:r>
      <w:r w:rsidRPr="00C714EB">
        <w:rPr>
          <w:rFonts w:ascii="Noto Sans" w:hAnsi="Noto Sans" w:cs="Arial"/>
          <w:sz w:val="20"/>
          <w:szCs w:val="20"/>
        </w:rPr>
        <w:t>Scheme’s</w:t>
      </w:r>
      <w:r w:rsidRPr="00D4639B">
        <w:rPr>
          <w:rFonts w:ascii="Noto Sans" w:hAnsi="Noto Sans" w:cs="Arial"/>
          <w:sz w:val="20"/>
          <w:szCs w:val="20"/>
        </w:rPr>
        <w:t xml:space="preserve"> assets are realisable at short notice. Therefore, t</w:t>
      </w:r>
      <w:r w:rsidR="00B043B4" w:rsidRPr="00D4639B">
        <w:rPr>
          <w:rFonts w:ascii="Noto Sans" w:hAnsi="Noto Sans" w:cs="Arial"/>
          <w:sz w:val="20"/>
          <w:szCs w:val="20"/>
        </w:rPr>
        <w:t xml:space="preserve">he </w:t>
      </w:r>
      <w:r w:rsidR="00393996" w:rsidRPr="00C714EB">
        <w:rPr>
          <w:rFonts w:ascii="Noto Sans" w:hAnsi="Noto Sans" w:cs="Arial"/>
          <w:sz w:val="20"/>
          <w:szCs w:val="20"/>
        </w:rPr>
        <w:t>Trustees</w:t>
      </w:r>
      <w:r w:rsidR="00B043B4" w:rsidRPr="00D4639B">
        <w:rPr>
          <w:rFonts w:ascii="Noto Sans" w:hAnsi="Noto Sans" w:cs="Arial"/>
          <w:sz w:val="20"/>
          <w:szCs w:val="20"/>
        </w:rPr>
        <w:t xml:space="preserve"> </w:t>
      </w:r>
      <w:r w:rsidR="00393996" w:rsidRPr="00D4639B">
        <w:rPr>
          <w:rFonts w:ascii="Noto Sans" w:hAnsi="Noto Sans" w:cs="Arial"/>
          <w:sz w:val="20"/>
          <w:szCs w:val="20"/>
        </w:rPr>
        <w:t xml:space="preserve">are satisfied </w:t>
      </w:r>
      <w:r w:rsidR="00BF239F" w:rsidRPr="00D4639B">
        <w:rPr>
          <w:rFonts w:ascii="Noto Sans" w:hAnsi="Noto Sans" w:cs="Arial"/>
          <w:sz w:val="20"/>
          <w:szCs w:val="20"/>
        </w:rPr>
        <w:t>that</w:t>
      </w:r>
      <w:r w:rsidR="00B043B4" w:rsidRPr="00D4639B">
        <w:rPr>
          <w:rFonts w:ascii="Noto Sans" w:hAnsi="Noto Sans" w:cs="Arial"/>
          <w:sz w:val="20"/>
          <w:szCs w:val="20"/>
        </w:rPr>
        <w:t xml:space="preserve"> sufficient assets held will be readily realisable to provide cash to meet payments by the </w:t>
      </w:r>
      <w:r w:rsidR="00393996" w:rsidRPr="00C714EB">
        <w:rPr>
          <w:rFonts w:ascii="Noto Sans" w:hAnsi="Noto Sans" w:cs="Arial"/>
          <w:sz w:val="20"/>
          <w:szCs w:val="20"/>
        </w:rPr>
        <w:t>Scheme</w:t>
      </w:r>
      <w:r w:rsidR="00B043B4" w:rsidRPr="00D4639B">
        <w:rPr>
          <w:rFonts w:ascii="Noto Sans" w:hAnsi="Noto Sans" w:cs="Arial"/>
          <w:sz w:val="20"/>
          <w:szCs w:val="20"/>
        </w:rPr>
        <w:t>.</w:t>
      </w:r>
    </w:p>
    <w:p w14:paraId="7E6DFF7D" w14:textId="77777777" w:rsidR="00B043B4" w:rsidRPr="00D4639B" w:rsidRDefault="00B043B4" w:rsidP="00B043B4">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 </w:t>
      </w:r>
    </w:p>
    <w:p w14:paraId="5CEF528C" w14:textId="23B271F8" w:rsidR="00B043B4" w:rsidRPr="00D4639B" w:rsidRDefault="00776ED0" w:rsidP="001A43A8">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In addition, t</w:t>
      </w:r>
      <w:r w:rsidR="00B043B4" w:rsidRPr="00D4639B">
        <w:rPr>
          <w:rFonts w:ascii="Noto Sans" w:hAnsi="Noto Sans" w:cs="Arial"/>
          <w:sz w:val="20"/>
          <w:szCs w:val="20"/>
        </w:rPr>
        <w:t xml:space="preserve">he </w:t>
      </w:r>
      <w:r w:rsidR="00393996" w:rsidRPr="00C714EB">
        <w:rPr>
          <w:rFonts w:ascii="Noto Sans" w:hAnsi="Noto Sans" w:cs="Arial"/>
          <w:sz w:val="20"/>
          <w:szCs w:val="20"/>
        </w:rPr>
        <w:t>Trustees</w:t>
      </w:r>
      <w:r w:rsidR="00393996" w:rsidRPr="00D4639B">
        <w:rPr>
          <w:rFonts w:ascii="Noto Sans" w:hAnsi="Noto Sans" w:cs="Arial"/>
          <w:sz w:val="20"/>
          <w:szCs w:val="20"/>
        </w:rPr>
        <w:t xml:space="preserve"> are</w:t>
      </w:r>
      <w:r w:rsidR="00B043B4" w:rsidRPr="00D4639B">
        <w:rPr>
          <w:rFonts w:ascii="Noto Sans" w:hAnsi="Noto Sans" w:cs="Arial"/>
          <w:sz w:val="20"/>
          <w:szCs w:val="20"/>
        </w:rPr>
        <w:t xml:space="preserve"> also sati</w:t>
      </w:r>
      <w:r w:rsidRPr="00D4639B">
        <w:rPr>
          <w:rFonts w:ascii="Noto Sans" w:hAnsi="Noto Sans" w:cs="Arial"/>
          <w:sz w:val="20"/>
          <w:szCs w:val="20"/>
        </w:rPr>
        <w:t>sfied that the spread of assets and</w:t>
      </w:r>
      <w:r w:rsidR="00B043B4" w:rsidRPr="00D4639B">
        <w:rPr>
          <w:rFonts w:ascii="Noto Sans" w:hAnsi="Noto Sans" w:cs="Arial"/>
          <w:sz w:val="20"/>
          <w:szCs w:val="20"/>
        </w:rPr>
        <w:t xml:space="preserve"> the </w:t>
      </w:r>
      <w:r w:rsidR="008A782F" w:rsidRPr="00D4639B">
        <w:rPr>
          <w:rFonts w:ascii="Noto Sans" w:hAnsi="Noto Sans" w:cs="Arial"/>
          <w:sz w:val="20"/>
          <w:szCs w:val="20"/>
        </w:rPr>
        <w:t>fiduciary manager’s</w:t>
      </w:r>
      <w:r w:rsidR="00B043B4" w:rsidRPr="00D4639B">
        <w:rPr>
          <w:rFonts w:ascii="Noto Sans" w:hAnsi="Noto Sans" w:cs="Arial"/>
          <w:sz w:val="20"/>
          <w:szCs w:val="20"/>
        </w:rPr>
        <w:t xml:space="preserve"> policies provide adequate diversification of investments. </w:t>
      </w:r>
    </w:p>
    <w:p w14:paraId="643EB3AD" w14:textId="77777777" w:rsidR="00D927DA" w:rsidRPr="00D4639B" w:rsidRDefault="00D927DA" w:rsidP="00B043B4">
      <w:pPr>
        <w:autoSpaceDE w:val="0"/>
        <w:autoSpaceDN w:val="0"/>
        <w:adjustRightInd w:val="0"/>
        <w:spacing w:after="0" w:line="240" w:lineRule="auto"/>
        <w:rPr>
          <w:rStyle w:val="A6"/>
          <w:rFonts w:ascii="Noto Sans" w:hAnsi="Noto Sans" w:cs="Arial"/>
        </w:rPr>
      </w:pPr>
    </w:p>
    <w:p w14:paraId="547FE67D" w14:textId="61F65D41" w:rsidR="00D927DA" w:rsidRPr="00D4639B" w:rsidRDefault="00302875" w:rsidP="00776ED0">
      <w:pPr>
        <w:pStyle w:val="ListParagraph"/>
        <w:numPr>
          <w:ilvl w:val="0"/>
          <w:numId w:val="11"/>
        </w:numPr>
        <w:autoSpaceDE w:val="0"/>
        <w:autoSpaceDN w:val="0"/>
        <w:adjustRightInd w:val="0"/>
        <w:spacing w:after="0" w:line="240" w:lineRule="auto"/>
        <w:rPr>
          <w:rFonts w:ascii="Noto Sans" w:hAnsi="Noto Sans" w:cs="Arial"/>
          <w:b/>
          <w:color w:val="000000"/>
          <w:sz w:val="20"/>
          <w:szCs w:val="20"/>
        </w:rPr>
      </w:pPr>
      <w:r>
        <w:rPr>
          <w:rFonts w:ascii="Noto Sans" w:hAnsi="Noto Sans" w:cs="Arial"/>
          <w:b/>
          <w:sz w:val="20"/>
          <w:szCs w:val="20"/>
        </w:rPr>
        <w:t>E</w:t>
      </w:r>
      <w:r w:rsidR="0006457B">
        <w:rPr>
          <w:rFonts w:ascii="Noto Sans" w:hAnsi="Noto Sans" w:cs="Arial"/>
          <w:b/>
          <w:sz w:val="20"/>
          <w:szCs w:val="20"/>
        </w:rPr>
        <w:t xml:space="preserve">nvironmental, </w:t>
      </w:r>
      <w:r>
        <w:rPr>
          <w:rFonts w:ascii="Noto Sans" w:hAnsi="Noto Sans" w:cs="Arial"/>
          <w:b/>
          <w:sz w:val="20"/>
          <w:szCs w:val="20"/>
        </w:rPr>
        <w:t>S</w:t>
      </w:r>
      <w:r w:rsidR="0006457B">
        <w:rPr>
          <w:rFonts w:ascii="Noto Sans" w:hAnsi="Noto Sans" w:cs="Arial"/>
          <w:b/>
          <w:sz w:val="20"/>
          <w:szCs w:val="20"/>
        </w:rPr>
        <w:t xml:space="preserve">ocial, </w:t>
      </w:r>
      <w:r>
        <w:rPr>
          <w:rFonts w:ascii="Noto Sans" w:hAnsi="Noto Sans" w:cs="Arial"/>
          <w:b/>
          <w:sz w:val="20"/>
          <w:szCs w:val="20"/>
        </w:rPr>
        <w:t>G</w:t>
      </w:r>
      <w:r w:rsidR="0006457B">
        <w:rPr>
          <w:rFonts w:ascii="Noto Sans" w:hAnsi="Noto Sans" w:cs="Arial"/>
          <w:b/>
          <w:sz w:val="20"/>
          <w:szCs w:val="20"/>
        </w:rPr>
        <w:t>overnance considerations</w:t>
      </w:r>
      <w:r>
        <w:rPr>
          <w:rFonts w:ascii="Noto Sans" w:hAnsi="Noto Sans" w:cs="Arial"/>
          <w:b/>
          <w:sz w:val="20"/>
          <w:szCs w:val="20"/>
        </w:rPr>
        <w:t xml:space="preserve"> and climate change</w:t>
      </w:r>
    </w:p>
    <w:p w14:paraId="49BA1FCD" w14:textId="5B48AF28" w:rsidR="00776ED0" w:rsidRPr="0006457B" w:rsidRDefault="0006457B" w:rsidP="00776ED0">
      <w:pPr>
        <w:autoSpaceDE w:val="0"/>
        <w:autoSpaceDN w:val="0"/>
        <w:adjustRightInd w:val="0"/>
        <w:spacing w:after="0" w:line="240" w:lineRule="auto"/>
        <w:rPr>
          <w:rStyle w:val="A6"/>
          <w:rFonts w:ascii="Noto Sans" w:hAnsi="Noto Sans" w:cs="Arial"/>
          <w:b/>
        </w:rPr>
      </w:pPr>
      <w:r w:rsidRPr="0006457B">
        <w:rPr>
          <w:rStyle w:val="A6"/>
          <w:rFonts w:ascii="Noto Sans" w:hAnsi="Noto Sans" w:cs="Arial"/>
          <w:b/>
        </w:rPr>
        <w:t>Financially material considerations</w:t>
      </w:r>
    </w:p>
    <w:p w14:paraId="7838F5DF" w14:textId="77777777" w:rsidR="0006457B" w:rsidRPr="00D4639B" w:rsidRDefault="0006457B" w:rsidP="00776ED0">
      <w:pPr>
        <w:autoSpaceDE w:val="0"/>
        <w:autoSpaceDN w:val="0"/>
        <w:adjustRightInd w:val="0"/>
        <w:spacing w:after="0" w:line="240" w:lineRule="auto"/>
        <w:rPr>
          <w:rStyle w:val="A6"/>
          <w:rFonts w:ascii="Noto Sans" w:hAnsi="Noto Sans" w:cs="Arial"/>
        </w:rPr>
      </w:pPr>
    </w:p>
    <w:p w14:paraId="195CCD4D" w14:textId="0124E228" w:rsidR="00302875" w:rsidRPr="00302875" w:rsidRDefault="00302875" w:rsidP="00302875">
      <w:pPr>
        <w:autoSpaceDE w:val="0"/>
        <w:autoSpaceDN w:val="0"/>
        <w:adjustRightInd w:val="0"/>
        <w:spacing w:after="0" w:line="240" w:lineRule="auto"/>
        <w:rPr>
          <w:rFonts w:ascii="Noto Sans" w:hAnsi="Noto Sans" w:cs="Arial"/>
          <w:sz w:val="20"/>
          <w:szCs w:val="20"/>
        </w:rPr>
      </w:pPr>
      <w:r w:rsidRPr="00302875">
        <w:rPr>
          <w:rFonts w:ascii="Noto Sans" w:hAnsi="Noto Sans" w:cs="Arial"/>
          <w:sz w:val="20"/>
          <w:szCs w:val="20"/>
        </w:rPr>
        <w:t xml:space="preserve">The Trustees believe that Environmental, Social and Governance (ESG) related risks, including climate change risks, are </w:t>
      </w:r>
      <w:r w:rsidR="0006457B">
        <w:rPr>
          <w:rFonts w:ascii="Noto Sans" w:hAnsi="Noto Sans" w:cs="Arial"/>
          <w:sz w:val="20"/>
          <w:szCs w:val="20"/>
        </w:rPr>
        <w:t xml:space="preserve">financially material and </w:t>
      </w:r>
      <w:r w:rsidRPr="00302875">
        <w:rPr>
          <w:rFonts w:ascii="Noto Sans" w:hAnsi="Noto Sans" w:cs="Arial"/>
          <w:sz w:val="20"/>
          <w:szCs w:val="20"/>
        </w:rPr>
        <w:t xml:space="preserve">an important component of investment risk.  The Trustees believe that organisations that soundly manage ESG related risks are more likely to be financially sustainable over time, and therefore deliver better long-term risk-adjusted returns. </w:t>
      </w:r>
    </w:p>
    <w:p w14:paraId="183CB481" w14:textId="77777777" w:rsidR="00302875" w:rsidRPr="00302875" w:rsidRDefault="00302875" w:rsidP="00302875">
      <w:pPr>
        <w:autoSpaceDE w:val="0"/>
        <w:autoSpaceDN w:val="0"/>
        <w:adjustRightInd w:val="0"/>
        <w:spacing w:after="0" w:line="240" w:lineRule="auto"/>
        <w:rPr>
          <w:rFonts w:ascii="Noto Sans" w:hAnsi="Noto Sans" w:cs="Arial"/>
          <w:sz w:val="20"/>
          <w:szCs w:val="20"/>
        </w:rPr>
      </w:pPr>
      <w:r w:rsidRPr="00302875">
        <w:rPr>
          <w:rFonts w:ascii="Noto Sans" w:hAnsi="Noto Sans" w:cs="Arial"/>
          <w:sz w:val="20"/>
          <w:szCs w:val="20"/>
        </w:rPr>
        <w:t> </w:t>
      </w:r>
    </w:p>
    <w:p w14:paraId="6BE56ECF" w14:textId="7F04C1F7" w:rsidR="00302875" w:rsidRPr="00302875" w:rsidRDefault="00302875" w:rsidP="00302875">
      <w:pPr>
        <w:pStyle w:val="ListParagraph"/>
        <w:numPr>
          <w:ilvl w:val="0"/>
          <w:numId w:val="19"/>
        </w:numPr>
        <w:autoSpaceDE w:val="0"/>
        <w:autoSpaceDN w:val="0"/>
        <w:adjustRightInd w:val="0"/>
        <w:spacing w:before="120" w:after="120" w:line="240" w:lineRule="auto"/>
        <w:rPr>
          <w:rFonts w:ascii="Noto Sans" w:hAnsi="Noto Sans" w:cs="Arial"/>
          <w:b/>
          <w:sz w:val="20"/>
          <w:szCs w:val="20"/>
        </w:rPr>
      </w:pPr>
      <w:r w:rsidRPr="00302875">
        <w:rPr>
          <w:rFonts w:ascii="Noto Sans" w:hAnsi="Noto Sans" w:cs="Arial"/>
          <w:b/>
          <w:sz w:val="20"/>
          <w:szCs w:val="20"/>
        </w:rPr>
        <w:t xml:space="preserve">Environmental factors </w:t>
      </w:r>
      <w:r w:rsidRPr="00302875">
        <w:rPr>
          <w:rFonts w:ascii="Noto Sans" w:hAnsi="Noto Sans" w:cs="Arial"/>
          <w:sz w:val="20"/>
          <w:szCs w:val="20"/>
        </w:rPr>
        <w:t xml:space="preserve">include climate change, resource, especially water, scarcity, and waste treatment practices. </w:t>
      </w:r>
      <w:r w:rsidR="0006457B">
        <w:rPr>
          <w:rFonts w:ascii="Noto Sans" w:hAnsi="Noto Sans" w:cs="Arial"/>
          <w:sz w:val="20"/>
          <w:szCs w:val="20"/>
        </w:rPr>
        <w:t>The Trustees</w:t>
      </w:r>
      <w:r w:rsidR="0006457B" w:rsidRPr="00302875">
        <w:rPr>
          <w:rFonts w:ascii="Noto Sans" w:hAnsi="Noto Sans" w:cs="Arial"/>
          <w:sz w:val="20"/>
          <w:szCs w:val="20"/>
        </w:rPr>
        <w:t xml:space="preserve"> </w:t>
      </w:r>
      <w:r w:rsidRPr="00302875">
        <w:rPr>
          <w:rFonts w:ascii="Noto Sans" w:hAnsi="Noto Sans" w:cs="Arial"/>
          <w:sz w:val="20"/>
          <w:szCs w:val="20"/>
        </w:rPr>
        <w:t>recognise that climate change is a key environmental challenge that poses both risks and opportunities.  These may take the form of rising physical losses from extreme weather in the short term, the medium-term impacts from the implementation of climate change policy, and the longer-term impacts if global temperature rises are not limited.</w:t>
      </w:r>
    </w:p>
    <w:p w14:paraId="5BD8F302" w14:textId="77777777" w:rsidR="00302875" w:rsidRPr="00302875" w:rsidRDefault="00302875" w:rsidP="00302875">
      <w:pPr>
        <w:pStyle w:val="ListParagraph"/>
        <w:autoSpaceDE w:val="0"/>
        <w:autoSpaceDN w:val="0"/>
        <w:adjustRightInd w:val="0"/>
        <w:spacing w:before="120" w:after="120" w:line="240" w:lineRule="auto"/>
        <w:rPr>
          <w:rFonts w:ascii="Noto Sans" w:hAnsi="Noto Sans" w:cs="Arial"/>
          <w:b/>
          <w:sz w:val="20"/>
          <w:szCs w:val="20"/>
        </w:rPr>
      </w:pPr>
    </w:p>
    <w:p w14:paraId="2CEF7EA7" w14:textId="77777777" w:rsidR="00302875" w:rsidRPr="00302875" w:rsidRDefault="00302875" w:rsidP="00302875">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302875">
        <w:rPr>
          <w:rFonts w:ascii="Noto Sans" w:hAnsi="Noto Sans" w:cs="Arial"/>
          <w:b/>
          <w:sz w:val="20"/>
          <w:szCs w:val="20"/>
        </w:rPr>
        <w:t xml:space="preserve">Social factors </w:t>
      </w:r>
      <w:r w:rsidRPr="00302875">
        <w:rPr>
          <w:rFonts w:ascii="Noto Sans" w:hAnsi="Noto Sans" w:cs="Arial"/>
          <w:sz w:val="20"/>
          <w:szCs w:val="20"/>
        </w:rPr>
        <w:t xml:space="preserve">include diversity, human capital management, health and safety, customer and supplier relationships, and interactions with local communities, regulators and governments. Organisations today must recognise that they operate </w:t>
      </w:r>
      <w:r w:rsidRPr="00302875">
        <w:rPr>
          <w:rFonts w:ascii="Noto Sans" w:hAnsi="Noto Sans" w:cs="Arial"/>
          <w:sz w:val="20"/>
          <w:szCs w:val="20"/>
        </w:rPr>
        <w:lastRenderedPageBreak/>
        <w:t>under a social licence, and that relationships with stakeholders should reflect these obligations.</w:t>
      </w:r>
    </w:p>
    <w:p w14:paraId="7ADA87DC" w14:textId="77777777" w:rsidR="00302875" w:rsidRPr="00302875" w:rsidRDefault="00302875" w:rsidP="00302875">
      <w:pPr>
        <w:pStyle w:val="ListParagraph"/>
        <w:autoSpaceDE w:val="0"/>
        <w:autoSpaceDN w:val="0"/>
        <w:adjustRightInd w:val="0"/>
        <w:spacing w:before="120" w:after="120" w:line="240" w:lineRule="auto"/>
        <w:rPr>
          <w:rFonts w:ascii="Noto Sans" w:hAnsi="Noto Sans" w:cs="Arial"/>
          <w:b/>
          <w:sz w:val="20"/>
          <w:szCs w:val="20"/>
        </w:rPr>
      </w:pPr>
    </w:p>
    <w:p w14:paraId="2C9AEFCB" w14:textId="77777777" w:rsidR="00302875" w:rsidRPr="00302875" w:rsidRDefault="00302875" w:rsidP="00302875">
      <w:pPr>
        <w:pStyle w:val="ListParagraph"/>
        <w:numPr>
          <w:ilvl w:val="0"/>
          <w:numId w:val="19"/>
        </w:numPr>
        <w:autoSpaceDE w:val="0"/>
        <w:autoSpaceDN w:val="0"/>
        <w:adjustRightInd w:val="0"/>
        <w:spacing w:before="120" w:after="120" w:line="240" w:lineRule="auto"/>
        <w:rPr>
          <w:rFonts w:ascii="Noto Sans" w:hAnsi="Noto Sans" w:cs="Arial"/>
          <w:sz w:val="20"/>
          <w:szCs w:val="20"/>
        </w:rPr>
      </w:pPr>
      <w:r w:rsidRPr="00302875">
        <w:rPr>
          <w:rFonts w:ascii="Noto Sans" w:hAnsi="Noto Sans" w:cs="Arial"/>
          <w:b/>
          <w:sz w:val="20"/>
          <w:szCs w:val="20"/>
        </w:rPr>
        <w:t xml:space="preserve">Governance factors </w:t>
      </w:r>
      <w:r w:rsidRPr="00302875">
        <w:rPr>
          <w:rFonts w:ascii="Noto Sans" w:hAnsi="Noto Sans" w:cs="Arial"/>
          <w:sz w:val="20"/>
          <w:szCs w:val="20"/>
        </w:rPr>
        <w:t>include business ethics, transparency of company management and reporting, executive remuneration and board structure. Well-governed organisations typically face lower levels of ESG risk as a result of a strong governance culture and appropriate policies and procedures, enabling them to deliver sustainable long-term returns.</w:t>
      </w:r>
    </w:p>
    <w:p w14:paraId="4EEE15BD" w14:textId="77777777" w:rsidR="00302875" w:rsidRPr="00302875" w:rsidRDefault="00302875" w:rsidP="00302875">
      <w:pPr>
        <w:autoSpaceDE w:val="0"/>
        <w:autoSpaceDN w:val="0"/>
        <w:adjustRightInd w:val="0"/>
        <w:spacing w:after="0" w:line="240" w:lineRule="auto"/>
        <w:rPr>
          <w:rFonts w:ascii="Noto Sans" w:hAnsi="Noto Sans" w:cs="Arial"/>
          <w:sz w:val="20"/>
          <w:szCs w:val="20"/>
        </w:rPr>
      </w:pPr>
      <w:r w:rsidRPr="00302875">
        <w:rPr>
          <w:rFonts w:ascii="Noto Sans" w:hAnsi="Noto Sans" w:cs="Arial"/>
          <w:sz w:val="20"/>
          <w:szCs w:val="20"/>
        </w:rPr>
        <w:t> </w:t>
      </w:r>
    </w:p>
    <w:p w14:paraId="4E29F264" w14:textId="74920BBA" w:rsidR="00393996" w:rsidRDefault="00302875" w:rsidP="00302875">
      <w:pPr>
        <w:autoSpaceDE w:val="0"/>
        <w:autoSpaceDN w:val="0"/>
        <w:adjustRightInd w:val="0"/>
        <w:spacing w:after="0" w:line="240" w:lineRule="auto"/>
        <w:rPr>
          <w:rFonts w:ascii="Noto Sans" w:hAnsi="Noto Sans" w:cs="Arial"/>
          <w:sz w:val="20"/>
          <w:szCs w:val="20"/>
        </w:rPr>
      </w:pPr>
      <w:r w:rsidRPr="00302875">
        <w:rPr>
          <w:rFonts w:ascii="Noto Sans" w:hAnsi="Noto Sans" w:cs="Arial"/>
          <w:sz w:val="20"/>
          <w:szCs w:val="20"/>
        </w:rPr>
        <w:t xml:space="preserve">The Trustees require the Scheme’s investment managers to integrate analysis of relevant ESG issues into their investment </w:t>
      </w:r>
      <w:r w:rsidR="0006457B">
        <w:rPr>
          <w:rFonts w:ascii="Noto Sans" w:hAnsi="Noto Sans" w:cs="Arial"/>
          <w:sz w:val="20"/>
          <w:szCs w:val="20"/>
        </w:rPr>
        <w:t xml:space="preserve">decision making </w:t>
      </w:r>
      <w:r w:rsidRPr="00302875">
        <w:rPr>
          <w:rFonts w:ascii="Noto Sans" w:hAnsi="Noto Sans" w:cs="Arial"/>
          <w:sz w:val="20"/>
          <w:szCs w:val="20"/>
        </w:rPr>
        <w:t xml:space="preserve">processes.  </w:t>
      </w:r>
      <w:r w:rsidR="0006457B">
        <w:rPr>
          <w:rFonts w:ascii="Noto Sans" w:hAnsi="Noto Sans" w:cs="Arial"/>
          <w:sz w:val="20"/>
          <w:szCs w:val="20"/>
        </w:rPr>
        <w:t>The Trustees</w:t>
      </w:r>
      <w:r w:rsidR="0006457B" w:rsidRPr="00302875">
        <w:rPr>
          <w:rFonts w:ascii="Noto Sans" w:hAnsi="Noto Sans" w:cs="Arial"/>
          <w:sz w:val="20"/>
          <w:szCs w:val="20"/>
        </w:rPr>
        <w:t xml:space="preserve"> </w:t>
      </w:r>
      <w:r w:rsidRPr="00302875">
        <w:rPr>
          <w:rFonts w:ascii="Noto Sans" w:hAnsi="Noto Sans" w:cs="Arial"/>
          <w:sz w:val="20"/>
          <w:szCs w:val="20"/>
        </w:rPr>
        <w:t>monitor how our investment managers take ESG issues into account in practice</w:t>
      </w:r>
      <w:r w:rsidR="0006457B">
        <w:rPr>
          <w:rFonts w:ascii="Noto Sans" w:hAnsi="Noto Sans" w:cs="Arial"/>
          <w:sz w:val="20"/>
          <w:szCs w:val="20"/>
        </w:rPr>
        <w:t xml:space="preserve"> on a regular basis</w:t>
      </w:r>
      <w:r>
        <w:rPr>
          <w:rFonts w:ascii="Noto Sans" w:hAnsi="Noto Sans" w:cs="Arial"/>
          <w:sz w:val="20"/>
          <w:szCs w:val="20"/>
        </w:rPr>
        <w:t>.</w:t>
      </w:r>
    </w:p>
    <w:p w14:paraId="0A979FD6" w14:textId="5295A040" w:rsidR="0006457B" w:rsidRDefault="0006457B" w:rsidP="00302875">
      <w:pPr>
        <w:autoSpaceDE w:val="0"/>
        <w:autoSpaceDN w:val="0"/>
        <w:adjustRightInd w:val="0"/>
        <w:spacing w:after="0" w:line="240" w:lineRule="auto"/>
        <w:rPr>
          <w:rFonts w:ascii="Noto Sans" w:hAnsi="Noto Sans" w:cs="Arial"/>
          <w:sz w:val="20"/>
          <w:szCs w:val="20"/>
        </w:rPr>
      </w:pPr>
    </w:p>
    <w:p w14:paraId="5131A7DE" w14:textId="56E8EAE7" w:rsidR="0006457B" w:rsidRPr="00BA034B" w:rsidRDefault="0006457B" w:rsidP="00302875">
      <w:pPr>
        <w:autoSpaceDE w:val="0"/>
        <w:autoSpaceDN w:val="0"/>
        <w:adjustRightInd w:val="0"/>
        <w:spacing w:after="0" w:line="240" w:lineRule="auto"/>
        <w:rPr>
          <w:rFonts w:ascii="Noto Sans" w:hAnsi="Noto Sans" w:cs="Arial"/>
          <w:b/>
          <w:sz w:val="20"/>
          <w:szCs w:val="20"/>
        </w:rPr>
      </w:pPr>
      <w:r w:rsidRPr="00BA034B">
        <w:rPr>
          <w:rFonts w:ascii="Noto Sans" w:hAnsi="Noto Sans" w:cs="Arial"/>
          <w:b/>
          <w:sz w:val="20"/>
          <w:szCs w:val="20"/>
        </w:rPr>
        <w:t>Non-financial matters</w:t>
      </w:r>
    </w:p>
    <w:p w14:paraId="40888EBD" w14:textId="12111CA5" w:rsidR="0006457B" w:rsidRDefault="0006457B" w:rsidP="00302875">
      <w:pPr>
        <w:autoSpaceDE w:val="0"/>
        <w:autoSpaceDN w:val="0"/>
        <w:adjustRightInd w:val="0"/>
        <w:spacing w:after="0" w:line="240" w:lineRule="auto"/>
        <w:rPr>
          <w:rFonts w:ascii="Noto Sans" w:hAnsi="Noto Sans" w:cs="Arial"/>
          <w:sz w:val="20"/>
          <w:szCs w:val="20"/>
        </w:rPr>
      </w:pPr>
    </w:p>
    <w:p w14:paraId="3584997E" w14:textId="7E42EA48" w:rsidR="0006457B" w:rsidRDefault="0006457B" w:rsidP="00302875">
      <w:pPr>
        <w:autoSpaceDE w:val="0"/>
        <w:autoSpaceDN w:val="0"/>
        <w:adjustRightInd w:val="0"/>
        <w:spacing w:after="0" w:line="240" w:lineRule="auto"/>
        <w:rPr>
          <w:rFonts w:ascii="Noto Sans" w:hAnsi="Noto Sans" w:cs="Arial"/>
          <w:sz w:val="20"/>
          <w:szCs w:val="20"/>
        </w:rPr>
      </w:pPr>
      <w:r w:rsidRPr="0006457B">
        <w:rPr>
          <w:rFonts w:ascii="Noto Sans" w:hAnsi="Noto Sans" w:cs="Arial"/>
          <w:sz w:val="20"/>
          <w:szCs w:val="20"/>
        </w:rPr>
        <w:t>The Trustees do not take into account non-financially material ESG considerations in the management of their investments.</w:t>
      </w:r>
    </w:p>
    <w:p w14:paraId="6359CFB7" w14:textId="1AF8CA1B" w:rsidR="004B7C12" w:rsidRDefault="004B7C12" w:rsidP="00302875">
      <w:pPr>
        <w:autoSpaceDE w:val="0"/>
        <w:autoSpaceDN w:val="0"/>
        <w:adjustRightInd w:val="0"/>
        <w:spacing w:after="0" w:line="240" w:lineRule="auto"/>
        <w:rPr>
          <w:rFonts w:ascii="Noto Sans" w:hAnsi="Noto Sans" w:cs="Arial"/>
          <w:sz w:val="20"/>
          <w:szCs w:val="20"/>
        </w:rPr>
      </w:pPr>
    </w:p>
    <w:p w14:paraId="38626C84" w14:textId="391665EE" w:rsidR="004B7C12" w:rsidRPr="00D4639B" w:rsidRDefault="00C4740E" w:rsidP="004B7C12">
      <w:pPr>
        <w:pStyle w:val="ListParagraph"/>
        <w:numPr>
          <w:ilvl w:val="0"/>
          <w:numId w:val="11"/>
        </w:numPr>
        <w:autoSpaceDE w:val="0"/>
        <w:autoSpaceDN w:val="0"/>
        <w:adjustRightInd w:val="0"/>
        <w:spacing w:after="0" w:line="240" w:lineRule="auto"/>
        <w:rPr>
          <w:rFonts w:ascii="Noto Sans" w:hAnsi="Noto Sans" w:cs="Arial"/>
          <w:b/>
          <w:color w:val="000000"/>
          <w:sz w:val="20"/>
          <w:szCs w:val="20"/>
        </w:rPr>
      </w:pPr>
      <w:r>
        <w:rPr>
          <w:rFonts w:ascii="Noto Sans" w:hAnsi="Noto Sans" w:cs="Arial"/>
          <w:b/>
          <w:sz w:val="20"/>
          <w:szCs w:val="20"/>
        </w:rPr>
        <w:t>Stewardship, voting and engagement activities</w:t>
      </w:r>
    </w:p>
    <w:p w14:paraId="556E27F4" w14:textId="77777777" w:rsidR="004B7C12" w:rsidRDefault="004B7C12" w:rsidP="00302875">
      <w:pPr>
        <w:autoSpaceDE w:val="0"/>
        <w:autoSpaceDN w:val="0"/>
        <w:adjustRightInd w:val="0"/>
        <w:spacing w:after="0" w:line="240" w:lineRule="auto"/>
        <w:rPr>
          <w:rFonts w:ascii="Noto Sans" w:hAnsi="Noto Sans" w:cs="Arial"/>
          <w:sz w:val="20"/>
          <w:szCs w:val="20"/>
        </w:rPr>
      </w:pPr>
    </w:p>
    <w:p w14:paraId="55BB0FA5" w14:textId="21D8D2A3" w:rsidR="004B7C12" w:rsidRPr="00D4639B" w:rsidRDefault="004B7C12" w:rsidP="004B7C12">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Pr="00CE2742">
        <w:rPr>
          <w:rFonts w:ascii="Noto Sans" w:hAnsi="Noto Sans" w:cs="Arial"/>
          <w:sz w:val="20"/>
          <w:szCs w:val="20"/>
        </w:rPr>
        <w:t>Trustees</w:t>
      </w:r>
      <w:r w:rsidRPr="002B54FB">
        <w:rPr>
          <w:rFonts w:ascii="Noto Sans" w:hAnsi="Noto Sans" w:cs="Arial"/>
          <w:sz w:val="20"/>
          <w:szCs w:val="20"/>
        </w:rPr>
        <w:t xml:space="preserve"> </w:t>
      </w:r>
      <w:r w:rsidRPr="00CE2742">
        <w:rPr>
          <w:rFonts w:ascii="Noto Sans" w:hAnsi="Noto Sans" w:cs="Arial"/>
          <w:sz w:val="20"/>
          <w:szCs w:val="20"/>
        </w:rPr>
        <w:t>have</w:t>
      </w:r>
      <w:r w:rsidRPr="00D4639B">
        <w:rPr>
          <w:rFonts w:ascii="Noto Sans" w:hAnsi="Noto Sans" w:cs="Arial"/>
          <w:sz w:val="20"/>
          <w:szCs w:val="20"/>
        </w:rPr>
        <w:t xml:space="preserve"> </w:t>
      </w:r>
      <w:r>
        <w:rPr>
          <w:rFonts w:ascii="Noto Sans" w:hAnsi="Noto Sans" w:cs="Arial"/>
          <w:sz w:val="20"/>
          <w:szCs w:val="20"/>
        </w:rPr>
        <w:t>instructed</w:t>
      </w:r>
      <w:r w:rsidRPr="00D4639B">
        <w:rPr>
          <w:rFonts w:ascii="Noto Sans" w:hAnsi="Noto Sans" w:cs="Arial"/>
          <w:sz w:val="20"/>
          <w:szCs w:val="20"/>
        </w:rPr>
        <w:t xml:space="preserve"> the</w:t>
      </w:r>
      <w:r>
        <w:rPr>
          <w:rFonts w:ascii="Noto Sans" w:hAnsi="Noto Sans" w:cs="Arial"/>
          <w:sz w:val="20"/>
          <w:szCs w:val="20"/>
        </w:rPr>
        <w:t>ir fiduciary</w:t>
      </w:r>
      <w:r w:rsidRPr="004760B8">
        <w:rPr>
          <w:rFonts w:ascii="Noto Sans" w:hAnsi="Noto Sans" w:cs="Arial"/>
          <w:sz w:val="20"/>
          <w:szCs w:val="20"/>
        </w:rPr>
        <w:t xml:space="preserve"> manager</w:t>
      </w:r>
      <w:r w:rsidRPr="00D4639B">
        <w:rPr>
          <w:rFonts w:ascii="Noto Sans" w:hAnsi="Noto Sans" w:cs="Arial"/>
          <w:sz w:val="20"/>
          <w:szCs w:val="20"/>
        </w:rPr>
        <w:t xml:space="preserve"> to exercise their voting and other rights as shareholders in a manner </w:t>
      </w:r>
      <w:r w:rsidR="0006457B">
        <w:rPr>
          <w:rFonts w:ascii="Noto Sans" w:hAnsi="Noto Sans" w:cs="Arial"/>
          <w:sz w:val="20"/>
          <w:szCs w:val="20"/>
        </w:rPr>
        <w:t xml:space="preserve">the fiduciary manager believes </w:t>
      </w:r>
      <w:r w:rsidRPr="00D4639B">
        <w:rPr>
          <w:rFonts w:ascii="Noto Sans" w:hAnsi="Noto Sans" w:cs="Arial"/>
          <w:sz w:val="20"/>
          <w:szCs w:val="20"/>
        </w:rPr>
        <w:t>to be consistent with best practice in relation to Corporate Governance and in accordance with the Institutional Shareholders’ Committee’s (“ISC”) Statement of Principles on the Responsibilities of Institutional Shareholders and Agents.</w:t>
      </w:r>
    </w:p>
    <w:p w14:paraId="0454219C" w14:textId="77777777" w:rsidR="004B7C12" w:rsidRPr="00D4639B" w:rsidRDefault="004B7C12" w:rsidP="004B7C12">
      <w:pPr>
        <w:autoSpaceDE w:val="0"/>
        <w:autoSpaceDN w:val="0"/>
        <w:adjustRightInd w:val="0"/>
        <w:spacing w:after="0" w:line="240" w:lineRule="auto"/>
        <w:rPr>
          <w:rFonts w:ascii="Noto Sans" w:hAnsi="Noto Sans" w:cs="Arial"/>
          <w:sz w:val="20"/>
          <w:szCs w:val="20"/>
        </w:rPr>
      </w:pPr>
    </w:p>
    <w:p w14:paraId="2A9A0A08" w14:textId="7EED3C7F" w:rsidR="004B7C12" w:rsidRPr="00D4639B" w:rsidRDefault="004B7C12" w:rsidP="004B7C12">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Pr="00CE2742">
        <w:rPr>
          <w:rFonts w:ascii="Noto Sans" w:hAnsi="Noto Sans" w:cs="Arial"/>
          <w:sz w:val="20"/>
          <w:szCs w:val="20"/>
        </w:rPr>
        <w:t>Trustees</w:t>
      </w:r>
      <w:r w:rsidRPr="00D4639B">
        <w:rPr>
          <w:rFonts w:ascii="Noto Sans" w:hAnsi="Noto Sans" w:cs="Arial"/>
          <w:sz w:val="20"/>
          <w:szCs w:val="20"/>
        </w:rPr>
        <w:t xml:space="preserve"> </w:t>
      </w:r>
      <w:r w:rsidR="000E3D74">
        <w:rPr>
          <w:rFonts w:ascii="Noto Sans" w:hAnsi="Noto Sans" w:cs="Arial"/>
          <w:sz w:val="20"/>
          <w:szCs w:val="20"/>
        </w:rPr>
        <w:t>recognise</w:t>
      </w:r>
      <w:r w:rsidRPr="00D4639B">
        <w:rPr>
          <w:rFonts w:ascii="Noto Sans" w:hAnsi="Noto Sans" w:cs="Arial"/>
          <w:sz w:val="20"/>
          <w:szCs w:val="20"/>
        </w:rPr>
        <w:t xml:space="preserve"> the </w:t>
      </w:r>
      <w:r w:rsidRPr="00CE2742">
        <w:rPr>
          <w:rFonts w:ascii="Noto Sans" w:hAnsi="Noto Sans" w:cs="Arial"/>
          <w:sz w:val="20"/>
          <w:szCs w:val="20"/>
        </w:rPr>
        <w:t>Scheme’s</w:t>
      </w:r>
      <w:r w:rsidRPr="00D4639B">
        <w:rPr>
          <w:rFonts w:ascii="Noto Sans" w:hAnsi="Noto Sans" w:cs="Arial"/>
          <w:sz w:val="20"/>
          <w:szCs w:val="20"/>
        </w:rPr>
        <w:t xml:space="preserve"> responsibility as a long term institutional investor to support and </w:t>
      </w:r>
      <w:r w:rsidRPr="00CE2742">
        <w:rPr>
          <w:rFonts w:ascii="Noto Sans" w:hAnsi="Noto Sans" w:cs="Arial"/>
          <w:sz w:val="20"/>
          <w:szCs w:val="20"/>
        </w:rPr>
        <w:t>encourage</w:t>
      </w:r>
      <w:r>
        <w:rPr>
          <w:rFonts w:ascii="Noto Sans" w:hAnsi="Noto Sans" w:cs="Arial"/>
          <w:sz w:val="20"/>
          <w:szCs w:val="20"/>
        </w:rPr>
        <w:t xml:space="preserve"> </w:t>
      </w:r>
      <w:r w:rsidRPr="00D4639B">
        <w:rPr>
          <w:rFonts w:ascii="Noto Sans" w:hAnsi="Noto Sans" w:cs="Arial"/>
          <w:sz w:val="20"/>
          <w:szCs w:val="20"/>
        </w:rPr>
        <w:t>good corporate governance practices in the companies in which it invests</w:t>
      </w:r>
      <w:r w:rsidR="0006457B" w:rsidRPr="0006457B">
        <w:rPr>
          <w:rFonts w:ascii="Noto Sans" w:hAnsi="Noto Sans" w:cs="Arial"/>
          <w:sz w:val="20"/>
          <w:szCs w:val="20"/>
        </w:rPr>
        <w:t>, because this also protects the value of the Scheme’s i</w:t>
      </w:r>
      <w:r w:rsidR="0006457B">
        <w:rPr>
          <w:rFonts w:ascii="Noto Sans" w:hAnsi="Noto Sans" w:cs="Arial"/>
          <w:sz w:val="20"/>
          <w:szCs w:val="20"/>
        </w:rPr>
        <w:t>nvestments while they are held</w:t>
      </w:r>
      <w:r w:rsidRPr="00D4639B">
        <w:rPr>
          <w:rFonts w:ascii="Noto Sans" w:hAnsi="Noto Sans" w:cs="Arial"/>
          <w:sz w:val="20"/>
          <w:szCs w:val="20"/>
        </w:rPr>
        <w:t xml:space="preserve">. </w:t>
      </w:r>
    </w:p>
    <w:p w14:paraId="727F9CC2" w14:textId="77777777" w:rsidR="004B7C12" w:rsidRPr="00D4639B" w:rsidRDefault="004B7C12" w:rsidP="004B7C12">
      <w:pPr>
        <w:autoSpaceDE w:val="0"/>
        <w:autoSpaceDN w:val="0"/>
        <w:adjustRightInd w:val="0"/>
        <w:spacing w:after="0" w:line="240" w:lineRule="auto"/>
        <w:rPr>
          <w:rFonts w:ascii="Noto Sans" w:hAnsi="Noto Sans" w:cs="Arial"/>
          <w:sz w:val="20"/>
          <w:szCs w:val="20"/>
        </w:rPr>
      </w:pPr>
    </w:p>
    <w:p w14:paraId="24ADC619" w14:textId="2AA1EE83" w:rsidR="004B7C12" w:rsidRDefault="004B7C12" w:rsidP="004B7C12">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The </w:t>
      </w:r>
      <w:r w:rsidRPr="00CE2742">
        <w:rPr>
          <w:rFonts w:ascii="Noto Sans" w:hAnsi="Noto Sans" w:cs="Arial"/>
          <w:sz w:val="20"/>
          <w:szCs w:val="20"/>
        </w:rPr>
        <w:t>Trustees</w:t>
      </w:r>
      <w:r w:rsidRPr="00D4639B">
        <w:rPr>
          <w:rFonts w:ascii="Noto Sans" w:hAnsi="Noto Sans" w:cs="Arial"/>
          <w:sz w:val="20"/>
          <w:szCs w:val="20"/>
        </w:rPr>
        <w:t xml:space="preserve"> therefore require </w:t>
      </w:r>
      <w:r w:rsidRPr="00CE2742">
        <w:rPr>
          <w:rFonts w:ascii="Noto Sans" w:hAnsi="Noto Sans" w:cs="Arial"/>
          <w:sz w:val="20"/>
          <w:szCs w:val="20"/>
        </w:rPr>
        <w:t>their</w:t>
      </w:r>
      <w:r w:rsidRPr="00D4639B">
        <w:rPr>
          <w:rFonts w:ascii="Noto Sans" w:hAnsi="Noto Sans" w:cs="Arial"/>
          <w:sz w:val="20"/>
          <w:szCs w:val="20"/>
        </w:rPr>
        <w:t xml:space="preserve"> </w:t>
      </w:r>
      <w:r>
        <w:rPr>
          <w:rFonts w:ascii="Noto Sans" w:hAnsi="Noto Sans" w:cs="Arial"/>
          <w:sz w:val="20"/>
          <w:szCs w:val="20"/>
        </w:rPr>
        <w:t>fiduciary</w:t>
      </w:r>
      <w:r w:rsidRPr="004760B8">
        <w:rPr>
          <w:rFonts w:ascii="Noto Sans" w:hAnsi="Noto Sans" w:cs="Arial"/>
          <w:sz w:val="20"/>
          <w:szCs w:val="20"/>
        </w:rPr>
        <w:t xml:space="preserve"> manager</w:t>
      </w:r>
      <w:r w:rsidRPr="00D4639B">
        <w:rPr>
          <w:rFonts w:ascii="Noto Sans" w:hAnsi="Noto Sans" w:cs="Arial"/>
          <w:sz w:val="20"/>
          <w:szCs w:val="20"/>
        </w:rPr>
        <w:t xml:space="preserve"> in their stewardship of the </w:t>
      </w:r>
      <w:r w:rsidRPr="00CE2742">
        <w:rPr>
          <w:rFonts w:ascii="Noto Sans" w:hAnsi="Noto Sans" w:cs="Arial"/>
          <w:sz w:val="20"/>
          <w:szCs w:val="20"/>
        </w:rPr>
        <w:t>Scheme’s</w:t>
      </w:r>
      <w:r w:rsidRPr="00D4639B">
        <w:rPr>
          <w:rFonts w:ascii="Noto Sans" w:hAnsi="Noto Sans" w:cs="Arial"/>
          <w:sz w:val="20"/>
          <w:szCs w:val="20"/>
        </w:rPr>
        <w:t xml:space="preserve"> assets to pay appropriate regard to </w:t>
      </w:r>
      <w:r w:rsidR="00B43393" w:rsidRPr="00B43393">
        <w:rPr>
          <w:rFonts w:ascii="Noto Sans" w:hAnsi="Noto Sans" w:cs="Arial"/>
          <w:sz w:val="20"/>
          <w:szCs w:val="20"/>
        </w:rPr>
        <w:t>the investee companies’ performance, strategy, capital structure, management of actual or potential conflicts of interest, risks</w:t>
      </w:r>
      <w:r w:rsidRPr="00D4639B">
        <w:rPr>
          <w:rFonts w:ascii="Noto Sans" w:hAnsi="Noto Sans" w:cs="Arial"/>
          <w:sz w:val="20"/>
          <w:szCs w:val="20"/>
        </w:rPr>
        <w:t xml:space="preserve">, social, and environmental </w:t>
      </w:r>
      <w:r w:rsidR="00B43393">
        <w:rPr>
          <w:rFonts w:ascii="Noto Sans" w:hAnsi="Noto Sans" w:cs="Arial"/>
          <w:sz w:val="20"/>
          <w:szCs w:val="20"/>
        </w:rPr>
        <w:t>impact and corporate governance</w:t>
      </w:r>
      <w:r w:rsidR="00B43393" w:rsidRPr="00D4639B">
        <w:rPr>
          <w:rFonts w:ascii="Noto Sans" w:hAnsi="Noto Sans" w:cs="Arial"/>
          <w:sz w:val="20"/>
          <w:szCs w:val="20"/>
        </w:rPr>
        <w:t xml:space="preserve"> </w:t>
      </w:r>
      <w:r w:rsidRPr="00D4639B">
        <w:rPr>
          <w:rFonts w:ascii="Noto Sans" w:hAnsi="Noto Sans" w:cs="Arial"/>
          <w:sz w:val="20"/>
          <w:szCs w:val="20"/>
        </w:rPr>
        <w:t>when considering the purchase, retention or sale of investments.</w:t>
      </w:r>
    </w:p>
    <w:p w14:paraId="509992E5" w14:textId="46F47743" w:rsidR="00B43393" w:rsidRDefault="00B43393" w:rsidP="004B7C12">
      <w:pPr>
        <w:autoSpaceDE w:val="0"/>
        <w:autoSpaceDN w:val="0"/>
        <w:adjustRightInd w:val="0"/>
        <w:spacing w:after="0" w:line="240" w:lineRule="auto"/>
        <w:rPr>
          <w:rFonts w:ascii="Noto Sans" w:hAnsi="Noto Sans" w:cs="Arial"/>
          <w:sz w:val="20"/>
          <w:szCs w:val="20"/>
        </w:rPr>
      </w:pPr>
    </w:p>
    <w:p w14:paraId="0C277993" w14:textId="77777777" w:rsidR="00B43393" w:rsidRP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The Trustees oversee their fiduciary manager’s voting and engagement activities to ensure compliance with this requirement. Reporting on the fiduciary manager’s voting and engagement activities and how these activities have had a bearing on the purchase, retention and sale of investments is included in the quarterly investment monitoring reports.</w:t>
      </w:r>
    </w:p>
    <w:p w14:paraId="0653DCA2" w14:textId="77777777" w:rsidR="00B43393" w:rsidRDefault="00B43393" w:rsidP="00B43393">
      <w:pPr>
        <w:autoSpaceDE w:val="0"/>
        <w:autoSpaceDN w:val="0"/>
        <w:adjustRightInd w:val="0"/>
        <w:spacing w:after="0" w:line="240" w:lineRule="auto"/>
        <w:rPr>
          <w:rFonts w:ascii="Noto Sans" w:hAnsi="Noto Sans" w:cs="Arial"/>
          <w:sz w:val="20"/>
          <w:szCs w:val="20"/>
        </w:rPr>
      </w:pPr>
    </w:p>
    <w:p w14:paraId="2B902746" w14:textId="19D11D0B" w:rsidR="00B43393" w:rsidRPr="00D4639B"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The Trustees prepare an Implementation Statement along with their Report and Accounts which describes their voting and engagement policies and their voting behaviour.</w:t>
      </w:r>
    </w:p>
    <w:p w14:paraId="3B817F79" w14:textId="1F7394C7" w:rsidR="004B7C12" w:rsidRDefault="004B7C12" w:rsidP="00302875">
      <w:pPr>
        <w:autoSpaceDE w:val="0"/>
        <w:autoSpaceDN w:val="0"/>
        <w:adjustRightInd w:val="0"/>
        <w:spacing w:after="0" w:line="240" w:lineRule="auto"/>
        <w:rPr>
          <w:rFonts w:ascii="Noto Sans" w:hAnsi="Noto Sans" w:cs="Arial"/>
          <w:sz w:val="20"/>
          <w:szCs w:val="20"/>
        </w:rPr>
      </w:pPr>
    </w:p>
    <w:p w14:paraId="301F462C" w14:textId="4B8C75DE" w:rsidR="00B43393" w:rsidRPr="00BA034B" w:rsidRDefault="00B43393" w:rsidP="00BA034B">
      <w:pPr>
        <w:pStyle w:val="ListParagraph"/>
        <w:numPr>
          <w:ilvl w:val="0"/>
          <w:numId w:val="11"/>
        </w:numPr>
        <w:autoSpaceDE w:val="0"/>
        <w:autoSpaceDN w:val="0"/>
        <w:adjustRightInd w:val="0"/>
        <w:spacing w:after="0" w:line="240" w:lineRule="auto"/>
        <w:rPr>
          <w:rFonts w:ascii="Noto Sans" w:hAnsi="Noto Sans" w:cs="Arial"/>
          <w:b/>
          <w:sz w:val="20"/>
          <w:szCs w:val="20"/>
        </w:rPr>
      </w:pPr>
      <w:r w:rsidRPr="00BA034B">
        <w:rPr>
          <w:rFonts w:ascii="Noto Sans" w:hAnsi="Noto Sans" w:cs="Arial"/>
          <w:b/>
          <w:sz w:val="20"/>
          <w:szCs w:val="20"/>
        </w:rPr>
        <w:t>Arrangements with asset managers</w:t>
      </w:r>
    </w:p>
    <w:p w14:paraId="034E28BB" w14:textId="652D45FD" w:rsidR="00302875" w:rsidRDefault="00302875" w:rsidP="00302875">
      <w:pPr>
        <w:autoSpaceDE w:val="0"/>
        <w:autoSpaceDN w:val="0"/>
        <w:adjustRightInd w:val="0"/>
        <w:spacing w:after="0" w:line="240" w:lineRule="auto"/>
        <w:rPr>
          <w:rFonts w:ascii="Noto Sans" w:hAnsi="Noto Sans" w:cs="Arial"/>
          <w:sz w:val="20"/>
          <w:szCs w:val="20"/>
        </w:rPr>
      </w:pPr>
    </w:p>
    <w:p w14:paraId="656D9247" w14:textId="77777777" w:rsid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 xml:space="preserve">The Trustees incentivise the fiduciary manager’s alignment with their policies relating to sections 3, 4, 5 and 6 using the reporting and activities listed under section 4 to oversee the fiduciary manager’s execution of its mandate; should the Trustees believe that the fiduciary </w:t>
      </w:r>
      <w:r w:rsidRPr="00B43393">
        <w:rPr>
          <w:rFonts w:ascii="Noto Sans" w:hAnsi="Noto Sans" w:cs="Arial"/>
          <w:sz w:val="20"/>
          <w:szCs w:val="20"/>
        </w:rPr>
        <w:lastRenderedPageBreak/>
        <w:t>manager is not aligned with their policies they will consider making changes to the fiduciary manager’s mandate as necessary.</w:t>
      </w:r>
    </w:p>
    <w:p w14:paraId="7F90A6FA" w14:textId="70897C2C" w:rsidR="00B43393" w:rsidRP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 xml:space="preserve">  </w:t>
      </w:r>
    </w:p>
    <w:p w14:paraId="6B62B429" w14:textId="580CC68E" w:rsid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The Trustees do not have any fee arrangements in place with the fiduciary manager that incentivise it to deviate from the Trustees’ policies (such as performance fees that reward positions taken in the market without regard to the environmental, social and governance considerations referred to in section 6).  Rather, the fee arrangements are consistent with, and therefore incentivise alignment with, those policies by encouraging the preservation of capital and risk-managed returns over an extended time horizon.</w:t>
      </w:r>
    </w:p>
    <w:p w14:paraId="7D2A0D19" w14:textId="77777777" w:rsidR="00B43393" w:rsidRPr="00B43393" w:rsidRDefault="00B43393" w:rsidP="00B43393">
      <w:pPr>
        <w:autoSpaceDE w:val="0"/>
        <w:autoSpaceDN w:val="0"/>
        <w:adjustRightInd w:val="0"/>
        <w:spacing w:after="0" w:line="240" w:lineRule="auto"/>
        <w:rPr>
          <w:rFonts w:ascii="Noto Sans" w:hAnsi="Noto Sans" w:cs="Arial"/>
          <w:sz w:val="20"/>
          <w:szCs w:val="20"/>
        </w:rPr>
      </w:pPr>
    </w:p>
    <w:p w14:paraId="7732FE16" w14:textId="77777777" w:rsid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The Trustees review the annual portfolio turnover and the associated costs incurred by their fiduciary manager against its targeted portfolio turnover or expected turnover range. Targeted portfolio turnover is defined as the expected level of asset sales and purchases in the portfolio based on recent historical experience and expected turnover range is similarly defined as the minimum and maximum frequency of such transactions based on recent historical experience.</w:t>
      </w:r>
    </w:p>
    <w:p w14:paraId="44A6861A" w14:textId="142C011A" w:rsidR="00B43393" w:rsidRP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 xml:space="preserve"> </w:t>
      </w:r>
    </w:p>
    <w:p w14:paraId="14E2D6DA" w14:textId="40C5ED09" w:rsidR="00B43393" w:rsidRDefault="00B43393" w:rsidP="00B43393">
      <w:pPr>
        <w:autoSpaceDE w:val="0"/>
        <w:autoSpaceDN w:val="0"/>
        <w:adjustRightInd w:val="0"/>
        <w:spacing w:after="0" w:line="240" w:lineRule="auto"/>
        <w:rPr>
          <w:rFonts w:ascii="Noto Sans" w:hAnsi="Noto Sans" w:cs="Arial"/>
          <w:sz w:val="20"/>
          <w:szCs w:val="20"/>
        </w:rPr>
      </w:pPr>
      <w:r w:rsidRPr="00B43393">
        <w:rPr>
          <w:rFonts w:ascii="Noto Sans" w:hAnsi="Noto Sans" w:cs="Arial"/>
          <w:sz w:val="20"/>
          <w:szCs w:val="20"/>
        </w:rPr>
        <w:t xml:space="preserve">The fiduciary manager was appointed by the Trustees in </w:t>
      </w:r>
      <w:r w:rsidR="00C9339B">
        <w:rPr>
          <w:rFonts w:ascii="Noto Sans" w:hAnsi="Noto Sans" w:cs="Arial"/>
          <w:sz w:val="20"/>
          <w:szCs w:val="20"/>
        </w:rPr>
        <w:t>July</w:t>
      </w:r>
      <w:r w:rsidRPr="00B43393">
        <w:rPr>
          <w:rFonts w:ascii="Noto Sans" w:hAnsi="Noto Sans" w:cs="Arial"/>
          <w:sz w:val="20"/>
          <w:szCs w:val="20"/>
        </w:rPr>
        <w:t xml:space="preserve"> </w:t>
      </w:r>
      <w:r w:rsidR="00C9339B">
        <w:rPr>
          <w:rFonts w:ascii="Noto Sans" w:hAnsi="Noto Sans" w:cs="Arial"/>
          <w:sz w:val="20"/>
          <w:szCs w:val="20"/>
        </w:rPr>
        <w:t>2016.</w:t>
      </w:r>
    </w:p>
    <w:p w14:paraId="382A7952" w14:textId="77777777" w:rsidR="00B43393" w:rsidRPr="00D4639B" w:rsidRDefault="00B43393" w:rsidP="00302875">
      <w:pPr>
        <w:autoSpaceDE w:val="0"/>
        <w:autoSpaceDN w:val="0"/>
        <w:adjustRightInd w:val="0"/>
        <w:spacing w:after="0" w:line="240" w:lineRule="auto"/>
        <w:rPr>
          <w:rFonts w:ascii="Noto Sans" w:hAnsi="Noto Sans" w:cs="Arial"/>
          <w:sz w:val="20"/>
          <w:szCs w:val="20"/>
        </w:rPr>
      </w:pPr>
    </w:p>
    <w:p w14:paraId="14EC030C" w14:textId="6E61750C" w:rsidR="00591BFD" w:rsidRPr="00D4639B" w:rsidRDefault="00FC6ECC" w:rsidP="004B7C12">
      <w:pPr>
        <w:pStyle w:val="ListParagraph"/>
        <w:numPr>
          <w:ilvl w:val="0"/>
          <w:numId w:val="11"/>
        </w:numPr>
        <w:autoSpaceDE w:val="0"/>
        <w:autoSpaceDN w:val="0"/>
        <w:adjustRightInd w:val="0"/>
        <w:spacing w:after="0" w:line="240" w:lineRule="auto"/>
        <w:rPr>
          <w:rFonts w:ascii="Noto Sans" w:hAnsi="Noto Sans" w:cs="Arial"/>
          <w:b/>
          <w:sz w:val="20"/>
          <w:szCs w:val="20"/>
        </w:rPr>
      </w:pPr>
      <w:r>
        <w:rPr>
          <w:rFonts w:ascii="Noto Sans" w:hAnsi="Noto Sans" w:cs="Arial"/>
          <w:b/>
          <w:sz w:val="20"/>
          <w:szCs w:val="20"/>
        </w:rPr>
        <w:t>Additional Voluntary Contributions (AVC)</w:t>
      </w:r>
    </w:p>
    <w:p w14:paraId="6BBF32EA" w14:textId="1F6AC572" w:rsidR="00591BFD" w:rsidRPr="00D4639B" w:rsidRDefault="00591BFD" w:rsidP="00591BFD">
      <w:pPr>
        <w:autoSpaceDE w:val="0"/>
        <w:autoSpaceDN w:val="0"/>
        <w:adjustRightInd w:val="0"/>
        <w:spacing w:after="0" w:line="240" w:lineRule="auto"/>
        <w:rPr>
          <w:rFonts w:ascii="Noto Sans" w:hAnsi="Noto Sans" w:cs="Arial"/>
          <w:sz w:val="20"/>
          <w:szCs w:val="20"/>
        </w:rPr>
      </w:pPr>
    </w:p>
    <w:p w14:paraId="11F55669" w14:textId="16F87BFC" w:rsidR="00BA5606" w:rsidRPr="00FC6ECC" w:rsidRDefault="004F395E" w:rsidP="00FC6ECC">
      <w:pPr>
        <w:autoSpaceDE w:val="0"/>
        <w:autoSpaceDN w:val="0"/>
        <w:adjustRightInd w:val="0"/>
        <w:spacing w:after="0" w:line="240" w:lineRule="auto"/>
        <w:rPr>
          <w:rFonts w:ascii="Noto Sans" w:hAnsi="Noto Sans" w:cs="Arial"/>
          <w:sz w:val="20"/>
          <w:szCs w:val="20"/>
        </w:rPr>
      </w:pPr>
      <w:r w:rsidRPr="00DA22FA">
        <w:rPr>
          <w:rFonts w:ascii="Noto Sans" w:hAnsi="Noto Sans" w:cs="Arial"/>
          <w:sz w:val="20"/>
          <w:szCs w:val="20"/>
        </w:rPr>
        <w:t>Member’s assets are held with Scottish Life Assurance for AVC’s.  However, there are no further contributions payable into those funds</w:t>
      </w:r>
      <w:r w:rsidR="00BA5606" w:rsidRPr="00DA22FA">
        <w:rPr>
          <w:rFonts w:ascii="Noto Sans" w:hAnsi="Noto Sans" w:cs="Arial"/>
          <w:sz w:val="20"/>
          <w:szCs w:val="20"/>
        </w:rPr>
        <w:t>.</w:t>
      </w:r>
    </w:p>
    <w:p w14:paraId="6B866104" w14:textId="52710054" w:rsidR="009A0A2C" w:rsidRDefault="009A0A2C" w:rsidP="009A0A2C">
      <w:pPr>
        <w:pStyle w:val="BodyTexthanging"/>
        <w:ind w:left="0" w:firstLine="0"/>
        <w:rPr>
          <w:rFonts w:ascii="Noto Sans" w:eastAsiaTheme="minorHAnsi" w:hAnsi="Noto Sans" w:cs="Arial"/>
          <w:color w:val="FF0000"/>
          <w:sz w:val="20"/>
        </w:rPr>
      </w:pPr>
    </w:p>
    <w:p w14:paraId="54268555" w14:textId="77777777" w:rsidR="00FC6ECC" w:rsidRPr="009A0A2C" w:rsidRDefault="00FC6ECC" w:rsidP="009A0A2C">
      <w:pPr>
        <w:pStyle w:val="BodyTexthanging"/>
        <w:ind w:left="0" w:firstLine="0"/>
        <w:rPr>
          <w:rFonts w:ascii="Noto Sans" w:eastAsiaTheme="minorHAnsi" w:hAnsi="Noto Sans" w:cs="Arial"/>
          <w:color w:val="FF0000"/>
          <w:sz w:val="20"/>
        </w:rPr>
      </w:pPr>
    </w:p>
    <w:p w14:paraId="6C3781CD" w14:textId="29F792C5" w:rsidR="00776ED0"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xml:space="preserve">Signed for and on behalf of the </w:t>
      </w:r>
      <w:r w:rsidRPr="00C714EB">
        <w:rPr>
          <w:rFonts w:ascii="Noto Sans" w:hAnsi="Noto Sans" w:cs="Arial"/>
          <w:sz w:val="20"/>
          <w:szCs w:val="20"/>
        </w:rPr>
        <w:t>Trustees</w:t>
      </w:r>
      <w:r w:rsidRPr="00D4639B">
        <w:rPr>
          <w:rFonts w:ascii="Noto Sans" w:hAnsi="Noto Sans" w:cs="Arial"/>
          <w:sz w:val="20"/>
          <w:szCs w:val="20"/>
        </w:rPr>
        <w:t xml:space="preserve"> of the </w:t>
      </w:r>
      <w:r w:rsidRPr="00C714EB">
        <w:rPr>
          <w:rFonts w:ascii="Noto Sans" w:hAnsi="Noto Sans" w:cs="Arial"/>
          <w:sz w:val="20"/>
          <w:szCs w:val="20"/>
        </w:rPr>
        <w:t>Scheme</w:t>
      </w:r>
      <w:r w:rsidRPr="00D4639B">
        <w:rPr>
          <w:rFonts w:ascii="Noto Sans" w:hAnsi="Noto Sans" w:cs="Arial"/>
          <w:sz w:val="20"/>
          <w:szCs w:val="20"/>
        </w:rPr>
        <w:t>:</w:t>
      </w:r>
    </w:p>
    <w:p w14:paraId="19C66669" w14:textId="77777777" w:rsidR="000D5B7F" w:rsidRPr="00D4639B" w:rsidRDefault="000D5B7F" w:rsidP="00776ED0">
      <w:pPr>
        <w:autoSpaceDE w:val="0"/>
        <w:autoSpaceDN w:val="0"/>
        <w:adjustRightInd w:val="0"/>
        <w:spacing w:after="0" w:line="240" w:lineRule="auto"/>
        <w:rPr>
          <w:rFonts w:ascii="Noto Sans" w:hAnsi="Noto Sans" w:cs="Arial"/>
          <w:sz w:val="20"/>
          <w:szCs w:val="20"/>
        </w:rPr>
      </w:pPr>
    </w:p>
    <w:p w14:paraId="287B8F15" w14:textId="77777777" w:rsidR="00776ED0" w:rsidRPr="00D4639B"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Name (Print)</w:t>
      </w:r>
    </w:p>
    <w:p w14:paraId="272CEAFA" w14:textId="77777777" w:rsidR="00776ED0" w:rsidRPr="00D4639B"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Signature</w:t>
      </w:r>
    </w:p>
    <w:p w14:paraId="013F4434" w14:textId="65BBB91F" w:rsidR="00776ED0"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Date</w:t>
      </w:r>
    </w:p>
    <w:p w14:paraId="6DB9D5D1" w14:textId="5492C8CF" w:rsidR="000D5B7F" w:rsidRDefault="000D5B7F" w:rsidP="00776ED0">
      <w:pPr>
        <w:autoSpaceDE w:val="0"/>
        <w:autoSpaceDN w:val="0"/>
        <w:adjustRightInd w:val="0"/>
        <w:spacing w:after="0" w:line="240" w:lineRule="auto"/>
        <w:rPr>
          <w:rFonts w:ascii="Noto Sans" w:hAnsi="Noto Sans" w:cs="Arial"/>
          <w:sz w:val="20"/>
          <w:szCs w:val="20"/>
        </w:rPr>
      </w:pPr>
    </w:p>
    <w:p w14:paraId="1E2E97D3" w14:textId="5630ED53" w:rsidR="000D5B7F" w:rsidRDefault="000D5B7F" w:rsidP="00776ED0">
      <w:pPr>
        <w:autoSpaceDE w:val="0"/>
        <w:autoSpaceDN w:val="0"/>
        <w:adjustRightInd w:val="0"/>
        <w:spacing w:after="0" w:line="240" w:lineRule="auto"/>
        <w:rPr>
          <w:rFonts w:ascii="Noto Sans" w:hAnsi="Noto Sans" w:cs="Arial"/>
          <w:sz w:val="20"/>
          <w:szCs w:val="20"/>
        </w:rPr>
      </w:pPr>
    </w:p>
    <w:p w14:paraId="2E0D5EF2" w14:textId="77777777" w:rsidR="00FC6ECC" w:rsidRPr="00D4639B" w:rsidRDefault="00FC6ECC" w:rsidP="00776ED0">
      <w:pPr>
        <w:autoSpaceDE w:val="0"/>
        <w:autoSpaceDN w:val="0"/>
        <w:adjustRightInd w:val="0"/>
        <w:spacing w:after="0" w:line="240" w:lineRule="auto"/>
        <w:rPr>
          <w:rFonts w:ascii="Noto Sans" w:hAnsi="Noto Sans" w:cs="Arial"/>
          <w:sz w:val="20"/>
          <w:szCs w:val="20"/>
        </w:rPr>
      </w:pPr>
    </w:p>
    <w:p w14:paraId="73282806" w14:textId="77777777" w:rsidR="00776ED0" w:rsidRPr="00D4639B"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Name (Print)</w:t>
      </w:r>
    </w:p>
    <w:p w14:paraId="669463AB" w14:textId="77777777" w:rsidR="00776ED0" w:rsidRPr="00D4639B"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Signature</w:t>
      </w:r>
    </w:p>
    <w:p w14:paraId="65C0754E" w14:textId="77777777" w:rsidR="00776ED0" w:rsidRPr="00D4639B" w:rsidRDefault="00776ED0" w:rsidP="00776ED0">
      <w:pPr>
        <w:autoSpaceDE w:val="0"/>
        <w:autoSpaceDN w:val="0"/>
        <w:adjustRightInd w:val="0"/>
        <w:spacing w:after="0" w:line="240" w:lineRule="auto"/>
        <w:rPr>
          <w:rFonts w:ascii="Noto Sans" w:hAnsi="Noto Sans" w:cs="Arial"/>
          <w:sz w:val="20"/>
          <w:szCs w:val="20"/>
        </w:rPr>
      </w:pPr>
      <w:r w:rsidRPr="00D4639B">
        <w:rPr>
          <w:rFonts w:ascii="Noto Sans" w:hAnsi="Noto Sans" w:cs="Arial"/>
          <w:sz w:val="20"/>
          <w:szCs w:val="20"/>
        </w:rPr>
        <w:t>................................. Date</w:t>
      </w:r>
    </w:p>
    <w:sectPr w:rsidR="00776ED0" w:rsidRPr="00D4639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189C" w14:textId="77777777" w:rsidR="00D4639B" w:rsidRDefault="00D4639B" w:rsidP="00D4639B">
      <w:pPr>
        <w:spacing w:after="0" w:line="240" w:lineRule="auto"/>
      </w:pPr>
      <w:r>
        <w:separator/>
      </w:r>
    </w:p>
  </w:endnote>
  <w:endnote w:type="continuationSeparator" w:id="0">
    <w:p w14:paraId="0D96C8B0" w14:textId="77777777" w:rsidR="00D4639B" w:rsidRDefault="00D4639B" w:rsidP="00D4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0002AFF" w:usb1="C000247B" w:usb2="00000009" w:usb3="00000000" w:csb0="000001FF" w:csb1="00000000"/>
  </w:font>
  <w:font w:name="Nubian">
    <w:altName w:val="Nubi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EC6D" w14:textId="77777777" w:rsidR="000D5B7F" w:rsidRDefault="000D5B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20"/>
      <w:gridCol w:w="3870"/>
      <w:gridCol w:w="336"/>
    </w:tblGrid>
    <w:tr w:rsidR="00F30126" w:rsidRPr="00F30126" w14:paraId="29F26B09" w14:textId="77777777" w:rsidTr="00BB7552">
      <w:trPr>
        <w:trHeight w:hRule="exact" w:val="624"/>
      </w:trPr>
      <w:tc>
        <w:tcPr>
          <w:tcW w:w="4820" w:type="dxa"/>
          <w:vAlign w:val="center"/>
        </w:tcPr>
        <w:p w14:paraId="54BF5F85" w14:textId="4F68EA02" w:rsidR="00F30126" w:rsidRPr="00F30126" w:rsidRDefault="00F30126" w:rsidP="00E5591E">
          <w:pPr>
            <w:pStyle w:val="B17BlueFooterText"/>
            <w:rPr>
              <w:rFonts w:ascii="Noto Sans" w:hAnsi="Noto Sans"/>
              <w:sz w:val="16"/>
              <w:szCs w:val="16"/>
            </w:rPr>
          </w:pPr>
        </w:p>
      </w:tc>
      <w:tc>
        <w:tcPr>
          <w:tcW w:w="3870" w:type="dxa"/>
          <w:vAlign w:val="center"/>
        </w:tcPr>
        <w:p w14:paraId="4CC0538C" w14:textId="1105625E" w:rsidR="00F30126" w:rsidRPr="00F30126" w:rsidRDefault="00F30126" w:rsidP="00F30126">
          <w:pPr>
            <w:pStyle w:val="B17CeruleanFooterTextright"/>
            <w:rPr>
              <w:rFonts w:ascii="Noto Sans" w:hAnsi="Noto Sans"/>
              <w:sz w:val="16"/>
              <w:szCs w:val="16"/>
            </w:rPr>
          </w:pPr>
        </w:p>
      </w:tc>
      <w:tc>
        <w:tcPr>
          <w:tcW w:w="336" w:type="dxa"/>
          <w:vAlign w:val="center"/>
        </w:tcPr>
        <w:p w14:paraId="095200B9" w14:textId="52A73D6A" w:rsidR="00F30126" w:rsidRPr="00F30126" w:rsidRDefault="00F30126" w:rsidP="00F30126">
          <w:pPr>
            <w:pStyle w:val="Footer"/>
            <w:jc w:val="center"/>
            <w:rPr>
              <w:rFonts w:ascii="Noto Sans" w:hAnsi="Noto Sans"/>
              <w:sz w:val="16"/>
              <w:szCs w:val="16"/>
            </w:rPr>
          </w:pPr>
          <w:r w:rsidRPr="00F30126">
            <w:rPr>
              <w:rStyle w:val="PageNumber"/>
              <w:rFonts w:ascii="Noto Sans" w:hAnsi="Noto Sans"/>
              <w:szCs w:val="16"/>
            </w:rPr>
            <w:fldChar w:fldCharType="begin"/>
          </w:r>
          <w:r w:rsidRPr="00F30126">
            <w:rPr>
              <w:rStyle w:val="PageNumber"/>
              <w:rFonts w:ascii="Noto Sans" w:hAnsi="Noto Sans"/>
              <w:szCs w:val="16"/>
            </w:rPr>
            <w:instrText xml:space="preserve"> PAGE   \* MERGEFORMAT </w:instrText>
          </w:r>
          <w:r w:rsidRPr="00F30126">
            <w:rPr>
              <w:rStyle w:val="PageNumber"/>
              <w:rFonts w:ascii="Noto Sans" w:hAnsi="Noto Sans"/>
              <w:szCs w:val="16"/>
            </w:rPr>
            <w:fldChar w:fldCharType="separate"/>
          </w:r>
          <w:r w:rsidR="00BA034B">
            <w:rPr>
              <w:rStyle w:val="PageNumber"/>
              <w:rFonts w:ascii="Noto Sans" w:hAnsi="Noto Sans"/>
              <w:noProof/>
              <w:szCs w:val="16"/>
            </w:rPr>
            <w:t>5</w:t>
          </w:r>
          <w:r w:rsidRPr="00F30126">
            <w:rPr>
              <w:rStyle w:val="PageNumber"/>
              <w:rFonts w:ascii="Noto Sans" w:hAnsi="Noto Sans"/>
              <w:szCs w:val="16"/>
            </w:rPr>
            <w:fldChar w:fldCharType="end"/>
          </w:r>
        </w:p>
      </w:tc>
    </w:tr>
  </w:tbl>
  <w:p w14:paraId="7CB30DF3" w14:textId="77777777" w:rsidR="00F30126" w:rsidRPr="00F30126" w:rsidRDefault="00F30126" w:rsidP="00F30126">
    <w:pPr>
      <w:pStyle w:val="Footer"/>
      <w:rPr>
        <w:rFonts w:ascii="Noto Sans" w:hAnsi="Noto San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E811" w14:textId="77777777" w:rsidR="000D5B7F" w:rsidRDefault="000D5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B1306" w14:textId="77777777" w:rsidR="00D4639B" w:rsidRDefault="00D4639B" w:rsidP="00D4639B">
      <w:pPr>
        <w:spacing w:after="0" w:line="240" w:lineRule="auto"/>
      </w:pPr>
      <w:r>
        <w:separator/>
      </w:r>
    </w:p>
  </w:footnote>
  <w:footnote w:type="continuationSeparator" w:id="0">
    <w:p w14:paraId="4F010172" w14:textId="77777777" w:rsidR="00D4639B" w:rsidRDefault="00D4639B" w:rsidP="00D4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62377" w14:textId="77777777" w:rsidR="000D5B7F" w:rsidRDefault="000D5B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4DB3" w14:textId="3FA06588" w:rsidR="000D5B7F" w:rsidRDefault="000D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131C" w14:textId="77777777" w:rsidR="000D5B7F" w:rsidRDefault="000D5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A3A"/>
    <w:multiLevelType w:val="hybridMultilevel"/>
    <w:tmpl w:val="AA9C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3073D"/>
    <w:multiLevelType w:val="hybridMultilevel"/>
    <w:tmpl w:val="6F349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76F71"/>
    <w:multiLevelType w:val="hybridMultilevel"/>
    <w:tmpl w:val="D67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C605C"/>
    <w:multiLevelType w:val="hybridMultilevel"/>
    <w:tmpl w:val="F14A5EC6"/>
    <w:lvl w:ilvl="0" w:tplc="3604C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90964"/>
    <w:multiLevelType w:val="hybridMultilevel"/>
    <w:tmpl w:val="CEAC467A"/>
    <w:lvl w:ilvl="0" w:tplc="E6EA5B82">
      <w:numFmt w:val="bullet"/>
      <w:lvlText w:val="-"/>
      <w:lvlJc w:val="left"/>
      <w:pPr>
        <w:ind w:left="435" w:hanging="435"/>
      </w:pPr>
      <w:rPr>
        <w:rFonts w:ascii="Noto Sans" w:eastAsia="Calibri" w:hAnsi="Noto Sans" w:cs="Times New Roman" w:hint="default"/>
        <w: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950BFA"/>
    <w:multiLevelType w:val="hybridMultilevel"/>
    <w:tmpl w:val="3B9C2FE6"/>
    <w:lvl w:ilvl="0" w:tplc="3604C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F6623"/>
    <w:multiLevelType w:val="hybridMultilevel"/>
    <w:tmpl w:val="9FDC5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C0A16"/>
    <w:multiLevelType w:val="hybridMultilevel"/>
    <w:tmpl w:val="3CFE6BA0"/>
    <w:lvl w:ilvl="0" w:tplc="3604C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951B9"/>
    <w:multiLevelType w:val="hybridMultilevel"/>
    <w:tmpl w:val="6B24B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55310"/>
    <w:multiLevelType w:val="hybridMultilevel"/>
    <w:tmpl w:val="3A36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639B3"/>
    <w:multiLevelType w:val="hybridMultilevel"/>
    <w:tmpl w:val="DF06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D642E"/>
    <w:multiLevelType w:val="hybridMultilevel"/>
    <w:tmpl w:val="1668F55E"/>
    <w:lvl w:ilvl="0" w:tplc="3604C05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A7CAF"/>
    <w:multiLevelType w:val="hybridMultilevel"/>
    <w:tmpl w:val="33B87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67F14"/>
    <w:multiLevelType w:val="hybridMultilevel"/>
    <w:tmpl w:val="F7B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0932D3"/>
    <w:multiLevelType w:val="hybridMultilevel"/>
    <w:tmpl w:val="E426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2008D"/>
    <w:multiLevelType w:val="hybridMultilevel"/>
    <w:tmpl w:val="490A9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2C312F"/>
    <w:multiLevelType w:val="hybridMultilevel"/>
    <w:tmpl w:val="2804AF4E"/>
    <w:lvl w:ilvl="0" w:tplc="3604C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031C2"/>
    <w:multiLevelType w:val="hybridMultilevel"/>
    <w:tmpl w:val="3120E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31945"/>
    <w:multiLevelType w:val="hybridMultilevel"/>
    <w:tmpl w:val="4C20B6EE"/>
    <w:lvl w:ilvl="0" w:tplc="3604C054">
      <w:start w:val="1"/>
      <w:numFmt w:val="bullet"/>
      <w:lvlText w:val="-"/>
      <w:lvlJc w:val="left"/>
      <w:pPr>
        <w:ind w:left="720" w:hanging="360"/>
      </w:pPr>
      <w:rPr>
        <w:rFonts w:ascii="Symbol" w:hAnsi="Symbol" w:hint="default"/>
      </w:rPr>
    </w:lvl>
    <w:lvl w:ilvl="1" w:tplc="3604C0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2464F8"/>
    <w:multiLevelType w:val="hybridMultilevel"/>
    <w:tmpl w:val="B22CDE1C"/>
    <w:lvl w:ilvl="0" w:tplc="3604C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840077"/>
    <w:multiLevelType w:val="hybridMultilevel"/>
    <w:tmpl w:val="8010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512134"/>
    <w:multiLevelType w:val="hybridMultilevel"/>
    <w:tmpl w:val="F800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A6FFB"/>
    <w:multiLevelType w:val="hybridMultilevel"/>
    <w:tmpl w:val="8C3EA142"/>
    <w:lvl w:ilvl="0" w:tplc="3604C0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3"/>
  </w:num>
  <w:num w:numId="4">
    <w:abstractNumId w:val="6"/>
  </w:num>
  <w:num w:numId="5">
    <w:abstractNumId w:val="0"/>
  </w:num>
  <w:num w:numId="6">
    <w:abstractNumId w:val="17"/>
  </w:num>
  <w:num w:numId="7">
    <w:abstractNumId w:val="2"/>
  </w:num>
  <w:num w:numId="8">
    <w:abstractNumId w:val="14"/>
  </w:num>
  <w:num w:numId="9">
    <w:abstractNumId w:val="20"/>
  </w:num>
  <w:num w:numId="10">
    <w:abstractNumId w:val="12"/>
  </w:num>
  <w:num w:numId="11">
    <w:abstractNumId w:val="1"/>
  </w:num>
  <w:num w:numId="12">
    <w:abstractNumId w:val="10"/>
  </w:num>
  <w:num w:numId="13">
    <w:abstractNumId w:val="15"/>
  </w:num>
  <w:num w:numId="14">
    <w:abstractNumId w:val="16"/>
  </w:num>
  <w:num w:numId="15">
    <w:abstractNumId w:val="7"/>
  </w:num>
  <w:num w:numId="16">
    <w:abstractNumId w:val="22"/>
  </w:num>
  <w:num w:numId="17">
    <w:abstractNumId w:val="19"/>
  </w:num>
  <w:num w:numId="18">
    <w:abstractNumId w:val="11"/>
  </w:num>
  <w:num w:numId="19">
    <w:abstractNumId w:val="5"/>
  </w:num>
  <w:num w:numId="20">
    <w:abstractNumId w:val="18"/>
  </w:num>
  <w:num w:numId="21">
    <w:abstractNumId w:val="3"/>
  </w:num>
  <w:num w:numId="22">
    <w:abstractNumId w:val="4"/>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11"/>
    <w:rsid w:val="00014F9C"/>
    <w:rsid w:val="0006457B"/>
    <w:rsid w:val="000738C4"/>
    <w:rsid w:val="0007529E"/>
    <w:rsid w:val="000D5B7F"/>
    <w:rsid w:val="000E3D74"/>
    <w:rsid w:val="00196DD0"/>
    <w:rsid w:val="001A43A8"/>
    <w:rsid w:val="001B733A"/>
    <w:rsid w:val="0020532D"/>
    <w:rsid w:val="002174A2"/>
    <w:rsid w:val="002449DC"/>
    <w:rsid w:val="00253647"/>
    <w:rsid w:val="00275E37"/>
    <w:rsid w:val="002914DA"/>
    <w:rsid w:val="00302875"/>
    <w:rsid w:val="00370F90"/>
    <w:rsid w:val="00393996"/>
    <w:rsid w:val="00407211"/>
    <w:rsid w:val="004130E8"/>
    <w:rsid w:val="00417119"/>
    <w:rsid w:val="004B323A"/>
    <w:rsid w:val="004B7C12"/>
    <w:rsid w:val="004F395E"/>
    <w:rsid w:val="00501911"/>
    <w:rsid w:val="00532FED"/>
    <w:rsid w:val="00591BFD"/>
    <w:rsid w:val="005A0099"/>
    <w:rsid w:val="005A42E1"/>
    <w:rsid w:val="005F6457"/>
    <w:rsid w:val="0060651D"/>
    <w:rsid w:val="006158A8"/>
    <w:rsid w:val="006645C7"/>
    <w:rsid w:val="00683A6F"/>
    <w:rsid w:val="00751FAC"/>
    <w:rsid w:val="007670F8"/>
    <w:rsid w:val="00776ED0"/>
    <w:rsid w:val="007A2F31"/>
    <w:rsid w:val="007A2FB7"/>
    <w:rsid w:val="007F1B5F"/>
    <w:rsid w:val="008130E2"/>
    <w:rsid w:val="008942BD"/>
    <w:rsid w:val="008A782F"/>
    <w:rsid w:val="008C2E6C"/>
    <w:rsid w:val="008E3C62"/>
    <w:rsid w:val="009A0A2C"/>
    <w:rsid w:val="009D044B"/>
    <w:rsid w:val="009F4412"/>
    <w:rsid w:val="00A047EF"/>
    <w:rsid w:val="00A46CFA"/>
    <w:rsid w:val="00A90C20"/>
    <w:rsid w:val="00AA01D9"/>
    <w:rsid w:val="00AE387C"/>
    <w:rsid w:val="00B043B4"/>
    <w:rsid w:val="00B42CC8"/>
    <w:rsid w:val="00B43393"/>
    <w:rsid w:val="00B531AF"/>
    <w:rsid w:val="00B9307D"/>
    <w:rsid w:val="00BA034B"/>
    <w:rsid w:val="00BA5606"/>
    <w:rsid w:val="00BB5F84"/>
    <w:rsid w:val="00BB7552"/>
    <w:rsid w:val="00BF239F"/>
    <w:rsid w:val="00C3736B"/>
    <w:rsid w:val="00C4740E"/>
    <w:rsid w:val="00C6764F"/>
    <w:rsid w:val="00C714EB"/>
    <w:rsid w:val="00C9339B"/>
    <w:rsid w:val="00C966EC"/>
    <w:rsid w:val="00CB4812"/>
    <w:rsid w:val="00CF2FFA"/>
    <w:rsid w:val="00CF793D"/>
    <w:rsid w:val="00D03C12"/>
    <w:rsid w:val="00D11B74"/>
    <w:rsid w:val="00D12BBF"/>
    <w:rsid w:val="00D4639B"/>
    <w:rsid w:val="00D67CB2"/>
    <w:rsid w:val="00D7368A"/>
    <w:rsid w:val="00D927DA"/>
    <w:rsid w:val="00DA22FA"/>
    <w:rsid w:val="00DF5A0A"/>
    <w:rsid w:val="00E06C2A"/>
    <w:rsid w:val="00E1232D"/>
    <w:rsid w:val="00E218DF"/>
    <w:rsid w:val="00E35603"/>
    <w:rsid w:val="00E5591E"/>
    <w:rsid w:val="00E55C76"/>
    <w:rsid w:val="00E74717"/>
    <w:rsid w:val="00E747CF"/>
    <w:rsid w:val="00E75521"/>
    <w:rsid w:val="00E76F95"/>
    <w:rsid w:val="00E8039C"/>
    <w:rsid w:val="00F006AA"/>
    <w:rsid w:val="00F26906"/>
    <w:rsid w:val="00F30126"/>
    <w:rsid w:val="00F623AA"/>
    <w:rsid w:val="00F64B80"/>
    <w:rsid w:val="00FA5B0C"/>
    <w:rsid w:val="00FC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22891F"/>
  <w15:docId w15:val="{FBF5C794-990C-4039-8933-3F513979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738C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457"/>
    <w:pPr>
      <w:ind w:left="720"/>
      <w:contextualSpacing/>
    </w:pPr>
  </w:style>
  <w:style w:type="character" w:customStyle="1" w:styleId="A6">
    <w:name w:val="A6"/>
    <w:uiPriority w:val="99"/>
    <w:rsid w:val="00B043B4"/>
    <w:rPr>
      <w:rFonts w:cs="Nubian"/>
      <w:color w:val="000000"/>
      <w:sz w:val="20"/>
      <w:szCs w:val="20"/>
    </w:rPr>
  </w:style>
  <w:style w:type="table" w:styleId="TableGrid">
    <w:name w:val="Table Grid"/>
    <w:basedOn w:val="TableNormal"/>
    <w:uiPriority w:val="59"/>
    <w:rsid w:val="00D9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D927DA"/>
    <w:pPr>
      <w:autoSpaceDE w:val="0"/>
      <w:autoSpaceDN w:val="0"/>
      <w:adjustRightInd w:val="0"/>
      <w:spacing w:after="0" w:line="221" w:lineRule="atLeast"/>
    </w:pPr>
    <w:rPr>
      <w:rFonts w:ascii="Nubian" w:hAnsi="Nubian"/>
      <w:sz w:val="24"/>
      <w:szCs w:val="24"/>
    </w:rPr>
  </w:style>
  <w:style w:type="character" w:styleId="CommentReference">
    <w:name w:val="annotation reference"/>
    <w:basedOn w:val="DefaultParagraphFont"/>
    <w:unhideWhenUsed/>
    <w:rsid w:val="00E747CF"/>
    <w:rPr>
      <w:sz w:val="16"/>
      <w:szCs w:val="16"/>
    </w:rPr>
  </w:style>
  <w:style w:type="paragraph" w:styleId="CommentText">
    <w:name w:val="annotation text"/>
    <w:basedOn w:val="Normal"/>
    <w:link w:val="CommentTextChar"/>
    <w:unhideWhenUsed/>
    <w:rsid w:val="00E747CF"/>
    <w:pPr>
      <w:spacing w:line="240" w:lineRule="auto"/>
    </w:pPr>
    <w:rPr>
      <w:sz w:val="20"/>
      <w:szCs w:val="20"/>
    </w:rPr>
  </w:style>
  <w:style w:type="character" w:customStyle="1" w:styleId="CommentTextChar">
    <w:name w:val="Comment Text Char"/>
    <w:basedOn w:val="DefaultParagraphFont"/>
    <w:link w:val="CommentText"/>
    <w:rsid w:val="00E747CF"/>
    <w:rPr>
      <w:sz w:val="20"/>
      <w:szCs w:val="20"/>
    </w:rPr>
  </w:style>
  <w:style w:type="paragraph" w:styleId="CommentSubject">
    <w:name w:val="annotation subject"/>
    <w:basedOn w:val="CommentText"/>
    <w:next w:val="CommentText"/>
    <w:link w:val="CommentSubjectChar"/>
    <w:uiPriority w:val="99"/>
    <w:semiHidden/>
    <w:unhideWhenUsed/>
    <w:rsid w:val="00E747CF"/>
    <w:rPr>
      <w:b/>
      <w:bCs/>
    </w:rPr>
  </w:style>
  <w:style w:type="character" w:customStyle="1" w:styleId="CommentSubjectChar">
    <w:name w:val="Comment Subject Char"/>
    <w:basedOn w:val="CommentTextChar"/>
    <w:link w:val="CommentSubject"/>
    <w:uiPriority w:val="99"/>
    <w:semiHidden/>
    <w:rsid w:val="00E747CF"/>
    <w:rPr>
      <w:b/>
      <w:bCs/>
      <w:sz w:val="20"/>
      <w:szCs w:val="20"/>
    </w:rPr>
  </w:style>
  <w:style w:type="paragraph" w:styleId="BalloonText">
    <w:name w:val="Balloon Text"/>
    <w:basedOn w:val="Normal"/>
    <w:link w:val="BalloonTextChar"/>
    <w:uiPriority w:val="99"/>
    <w:semiHidden/>
    <w:unhideWhenUsed/>
    <w:rsid w:val="00E74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7CF"/>
    <w:rPr>
      <w:rFonts w:ascii="Tahoma" w:hAnsi="Tahoma" w:cs="Tahoma"/>
      <w:sz w:val="16"/>
      <w:szCs w:val="16"/>
    </w:rPr>
  </w:style>
  <w:style w:type="character" w:styleId="Hyperlink">
    <w:name w:val="Hyperlink"/>
    <w:basedOn w:val="DefaultParagraphFont"/>
    <w:uiPriority w:val="99"/>
    <w:unhideWhenUsed/>
    <w:rsid w:val="008C2E6C"/>
    <w:rPr>
      <w:color w:val="0000FF" w:themeColor="hyperlink"/>
      <w:u w:val="single"/>
    </w:rPr>
  </w:style>
  <w:style w:type="character" w:customStyle="1" w:styleId="Heading4Char">
    <w:name w:val="Heading 4 Char"/>
    <w:basedOn w:val="DefaultParagraphFont"/>
    <w:link w:val="Heading4"/>
    <w:uiPriority w:val="9"/>
    <w:rsid w:val="000738C4"/>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738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39B"/>
  </w:style>
  <w:style w:type="paragraph" w:styleId="Footer">
    <w:name w:val="footer"/>
    <w:basedOn w:val="Normal"/>
    <w:link w:val="FooterChar"/>
    <w:uiPriority w:val="99"/>
    <w:unhideWhenUsed/>
    <w:qFormat/>
    <w:rsid w:val="00D4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39B"/>
  </w:style>
  <w:style w:type="character" w:styleId="PageNumber">
    <w:name w:val="page number"/>
    <w:basedOn w:val="DefaultParagraphFont"/>
    <w:uiPriority w:val="39"/>
    <w:semiHidden/>
    <w:rsid w:val="00F30126"/>
    <w:rPr>
      <w:rFonts w:asciiTheme="minorHAnsi" w:hAnsiTheme="minorHAnsi"/>
      <w:b/>
      <w:color w:val="4F81BD" w:themeColor="accent1"/>
      <w:sz w:val="16"/>
    </w:rPr>
  </w:style>
  <w:style w:type="paragraph" w:customStyle="1" w:styleId="B17BlueFooterText">
    <w:name w:val="B17_Blue Footer Text"/>
    <w:basedOn w:val="BodyText"/>
    <w:uiPriority w:val="29"/>
    <w:qFormat/>
    <w:rsid w:val="00F30126"/>
    <w:pPr>
      <w:spacing w:after="0" w:line="180" w:lineRule="exact"/>
    </w:pPr>
    <w:rPr>
      <w:color w:val="4F81BD" w:themeColor="accent1"/>
      <w:sz w:val="15"/>
      <w:lang w:eastAsia="ja-JP"/>
    </w:rPr>
  </w:style>
  <w:style w:type="paragraph" w:customStyle="1" w:styleId="B17CeruleanFooterTextright">
    <w:name w:val="B17_Cerulean Footer Text (right)"/>
    <w:basedOn w:val="Normal"/>
    <w:uiPriority w:val="29"/>
    <w:qFormat/>
    <w:rsid w:val="00F30126"/>
    <w:pPr>
      <w:spacing w:after="0" w:line="180" w:lineRule="exact"/>
      <w:ind w:right="170"/>
      <w:jc w:val="right"/>
    </w:pPr>
    <w:rPr>
      <w:color w:val="9BBB59" w:themeColor="accent3"/>
      <w:sz w:val="15"/>
      <w:lang w:eastAsia="ja-JP"/>
    </w:rPr>
  </w:style>
  <w:style w:type="paragraph" w:styleId="BodyText">
    <w:name w:val="Body Text"/>
    <w:basedOn w:val="Normal"/>
    <w:link w:val="BodyTextChar"/>
    <w:uiPriority w:val="99"/>
    <w:semiHidden/>
    <w:unhideWhenUsed/>
    <w:rsid w:val="00F30126"/>
    <w:pPr>
      <w:spacing w:after="120"/>
    </w:pPr>
  </w:style>
  <w:style w:type="character" w:customStyle="1" w:styleId="BodyTextChar">
    <w:name w:val="Body Text Char"/>
    <w:basedOn w:val="DefaultParagraphFont"/>
    <w:link w:val="BodyText"/>
    <w:uiPriority w:val="99"/>
    <w:semiHidden/>
    <w:rsid w:val="00F30126"/>
  </w:style>
  <w:style w:type="paragraph" w:customStyle="1" w:styleId="BodyTexthanging">
    <w:name w:val="Body Text hanging"/>
    <w:basedOn w:val="BodyText"/>
    <w:rsid w:val="009A0A2C"/>
    <w:pPr>
      <w:keepLines/>
      <w:spacing w:before="140" w:line="240" w:lineRule="auto"/>
      <w:ind w:left="720" w:hanging="720"/>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34709">
      <w:bodyDiv w:val="1"/>
      <w:marLeft w:val="0"/>
      <w:marRight w:val="0"/>
      <w:marTop w:val="0"/>
      <w:marBottom w:val="0"/>
      <w:divBdr>
        <w:top w:val="none" w:sz="0" w:space="0" w:color="auto"/>
        <w:left w:val="none" w:sz="0" w:space="0" w:color="auto"/>
        <w:bottom w:val="none" w:sz="0" w:space="0" w:color="auto"/>
        <w:right w:val="none" w:sz="0" w:space="0" w:color="auto"/>
      </w:divBdr>
    </w:div>
    <w:div w:id="18550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297F-5232-42DB-8DC7-E3BC8265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Schroders Investment Management</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Dapin, Sophie</dc:creator>
  <cp:lastModifiedBy>Gin, Oliver</cp:lastModifiedBy>
  <cp:revision>8</cp:revision>
  <cp:lastPrinted>2017-08-30T08:50:00Z</cp:lastPrinted>
  <dcterms:created xsi:type="dcterms:W3CDTF">2020-09-10T19:47:00Z</dcterms:created>
  <dcterms:modified xsi:type="dcterms:W3CDTF">2020-09-28T19:00:00Z</dcterms:modified>
  <cp:category>Pensions Regulator Guidance and Instructions for Completing SIP Template</cp:category>
</cp:coreProperties>
</file>